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36D7A59D"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 xml:space="preserve">3GPP TSG RAN WG1 Meeting </w:t>
      </w:r>
      <w:r w:rsidR="00B71E32" w:rsidRPr="00B71E32">
        <w:rPr>
          <w:rFonts w:ascii="Arial" w:eastAsia="Arial" w:hAnsi="Arial" w:cs="Arial"/>
          <w:b/>
          <w:bCs/>
          <w:sz w:val="24"/>
          <w:szCs w:val="24"/>
        </w:rPr>
        <w:t>AH-1901</w:t>
      </w:r>
      <w:r w:rsidRPr="00ED270C">
        <w:rPr>
          <w:rFonts w:ascii="Arial" w:eastAsia="Arial" w:hAnsi="Arial" w:cs="Arial"/>
          <w:b/>
          <w:bCs/>
          <w:sz w:val="24"/>
          <w:szCs w:val="24"/>
        </w:rPr>
        <w:t xml:space="preserve">               </w:t>
      </w:r>
      <w:r>
        <w:rPr>
          <w:rFonts w:ascii="Arial" w:hAnsi="Arial" w:cs="Arial"/>
          <w:b/>
          <w:bCs/>
          <w:sz w:val="24"/>
        </w:rPr>
        <w:tab/>
      </w:r>
      <w:r w:rsidR="00AE66BC" w:rsidRPr="00AE66BC">
        <w:rPr>
          <w:rFonts w:ascii="Arial" w:hAnsi="Arial" w:cs="Arial"/>
          <w:b/>
          <w:bCs/>
          <w:sz w:val="24"/>
        </w:rPr>
        <w:t>R1-1900349</w:t>
      </w:r>
    </w:p>
    <w:p w14:paraId="4E847B5D" w14:textId="11B20251" w:rsidR="006B10EA" w:rsidRDefault="00B71E32" w:rsidP="00CA26CE">
      <w:pPr>
        <w:pStyle w:val="Header"/>
        <w:rPr>
          <w:rFonts w:cs="Arial"/>
          <w:bCs/>
          <w:sz w:val="24"/>
        </w:rPr>
      </w:pPr>
      <w:r>
        <w:rPr>
          <w:rFonts w:cs="Arial"/>
          <w:bCs/>
          <w:sz w:val="24"/>
        </w:rPr>
        <w:t>Taipei</w:t>
      </w:r>
      <w:r w:rsidR="00C7260E" w:rsidRPr="00C7260E">
        <w:rPr>
          <w:rFonts w:cs="Arial"/>
          <w:bCs/>
          <w:sz w:val="24"/>
        </w:rPr>
        <w:t xml:space="preserve">, </w:t>
      </w:r>
      <w:r>
        <w:rPr>
          <w:rFonts w:cs="Arial"/>
          <w:bCs/>
          <w:sz w:val="24"/>
        </w:rPr>
        <w:t xml:space="preserve">Taiwan, </w:t>
      </w:r>
      <w:r w:rsidR="002F50A6">
        <w:rPr>
          <w:rFonts w:cs="Arial"/>
          <w:bCs/>
          <w:sz w:val="24"/>
        </w:rPr>
        <w:t>January</w:t>
      </w:r>
      <w:r>
        <w:rPr>
          <w:rFonts w:cs="Arial"/>
          <w:bCs/>
          <w:sz w:val="24"/>
        </w:rPr>
        <w:t xml:space="preserve"> 21</w:t>
      </w:r>
      <w:r w:rsidR="00AE66BC" w:rsidRPr="00AE66BC">
        <w:rPr>
          <w:rFonts w:cs="Arial"/>
          <w:bCs/>
          <w:sz w:val="24"/>
          <w:vertAlign w:val="superscript"/>
        </w:rPr>
        <w:t>st</w:t>
      </w:r>
      <w:r w:rsidR="00AE66BC">
        <w:rPr>
          <w:rFonts w:cs="Arial"/>
          <w:bCs/>
          <w:sz w:val="24"/>
        </w:rPr>
        <w:t xml:space="preserve"> </w:t>
      </w:r>
      <w:r w:rsidR="00C7260E" w:rsidRPr="00C7260E">
        <w:rPr>
          <w:rFonts w:cs="Arial"/>
          <w:bCs/>
          <w:sz w:val="24"/>
        </w:rPr>
        <w:t xml:space="preserve">– </w:t>
      </w:r>
      <w:r>
        <w:rPr>
          <w:rFonts w:cs="Arial"/>
          <w:bCs/>
          <w:sz w:val="24"/>
        </w:rPr>
        <w:t>25</w:t>
      </w:r>
      <w:r w:rsidR="00AE66BC" w:rsidRPr="00AE66BC">
        <w:rPr>
          <w:rFonts w:cs="Arial"/>
          <w:bCs/>
          <w:sz w:val="24"/>
          <w:vertAlign w:val="superscript"/>
        </w:rPr>
        <w:t>th</w:t>
      </w:r>
      <w:r w:rsidR="00AE66BC">
        <w:rPr>
          <w:rFonts w:cs="Arial"/>
          <w:bCs/>
          <w:sz w:val="24"/>
        </w:rPr>
        <w:t xml:space="preserve"> </w:t>
      </w:r>
      <w:r w:rsidR="00C7260E" w:rsidRPr="00C7260E">
        <w:rPr>
          <w:rFonts w:cs="Arial"/>
          <w:bCs/>
          <w:sz w:val="24"/>
        </w:rPr>
        <w:t>, 201</w:t>
      </w:r>
      <w:r>
        <w:rPr>
          <w:rFonts w:cs="Arial"/>
          <w:bCs/>
          <w:sz w:val="24"/>
        </w:rPr>
        <w:t>9</w:t>
      </w:r>
    </w:p>
    <w:p w14:paraId="12CDA6F9" w14:textId="77777777" w:rsidR="00C7260E" w:rsidRPr="000A44DE" w:rsidRDefault="00C7260E" w:rsidP="00CA26CE">
      <w:pPr>
        <w:pStyle w:val="Header"/>
        <w:rPr>
          <w:bCs/>
          <w:noProof w:val="0"/>
          <w:sz w:val="24"/>
          <w:lang w:eastAsia="ja-JP"/>
        </w:rPr>
      </w:pPr>
    </w:p>
    <w:p w14:paraId="08AC4AD5" w14:textId="1EA7E82F"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F76410">
      <w:pPr>
        <w:pStyle w:val="Heading1"/>
      </w:pPr>
      <w:r w:rsidRPr="0016316A">
        <w:t>Introduction</w:t>
      </w:r>
    </w:p>
    <w:p w14:paraId="67506707" w14:textId="54E99C34" w:rsidR="00F76410" w:rsidRPr="00ED270C"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5E7FE72F" w14:textId="039CADCE" w:rsidR="00E765C3" w:rsidRDefault="00CC36D2" w:rsidP="00A77398">
      <w:pPr>
        <w:jc w:val="both"/>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w:t>
      </w:r>
      <w:r w:rsidR="00211030">
        <w:rPr>
          <w:lang w:val="en-US" w:eastAsia="fi-FI"/>
        </w:rPr>
        <w:t>specify changes to NR enabling operation</w:t>
      </w:r>
      <w:r w:rsidR="00F76410" w:rsidRPr="00ED270C">
        <w:rPr>
          <w:lang w:val="en-US" w:eastAsia="fi-FI"/>
        </w:rPr>
        <w:t xml:space="preserve"> </w:t>
      </w:r>
      <w:r w:rsidR="00211030">
        <w:rPr>
          <w:lang w:val="en-US" w:eastAsia="fi-FI"/>
        </w:rPr>
        <w:t>in</w:t>
      </w:r>
      <w:r w:rsidR="00F76410" w:rsidRPr="00ED270C">
        <w:rPr>
          <w:lang w:val="en-US" w:eastAsia="fi-FI"/>
        </w:rPr>
        <w:t xml:space="preserve"> unlicensed bands</w:t>
      </w:r>
      <w:r w:rsidR="00211030">
        <w:rPr>
          <w:lang w:val="en-US" w:eastAsia="fi-FI"/>
        </w:rPr>
        <w:t>/</w:t>
      </w:r>
      <w:r w:rsidR="00F76410" w:rsidRPr="00ED270C">
        <w:rPr>
          <w:lang w:val="en-US" w:eastAsia="fi-FI"/>
        </w:rPr>
        <w:t xml:space="preserve">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issues</w:t>
      </w:r>
      <w:r w:rsidR="00211030">
        <w:rPr>
          <w:lang w:val="en-US" w:eastAsia="fi-FI"/>
        </w:rPr>
        <w:t>/changes</w:t>
      </w:r>
      <w:r w:rsidR="00051616" w:rsidRPr="00ED270C">
        <w:rPr>
          <w:lang w:val="en-US" w:eastAsia="fi-FI"/>
        </w:rPr>
        <w:t xml:space="preserve"> related to </w:t>
      </w:r>
      <w:r w:rsidR="00E765C3">
        <w:rPr>
          <w:lang w:val="en-US" w:eastAsia="fi-FI"/>
        </w:rPr>
        <w:t>wideband operation</w:t>
      </w:r>
      <w:r w:rsidR="00051616" w:rsidRPr="00ED270C">
        <w:rPr>
          <w:lang w:val="en-US" w:eastAsia="fi-FI"/>
        </w:rPr>
        <w:t xml:space="preserve">. </w:t>
      </w:r>
    </w:p>
    <w:p w14:paraId="351974C7" w14:textId="383828D4" w:rsidR="00E56D51" w:rsidRDefault="00E765C3" w:rsidP="0048748C">
      <w:r>
        <w:rPr>
          <w:lang w:val="en-US" w:eastAsia="fi-FI"/>
        </w:rPr>
        <w:t xml:space="preserve">Relevant agreements made in </w:t>
      </w:r>
      <w:r w:rsidRPr="00ED270C">
        <w:rPr>
          <w:lang w:val="en-US" w:eastAsia="fi-FI"/>
        </w:rPr>
        <w:t xml:space="preserve">RAN1#92bis </w:t>
      </w:r>
      <w:r w:rsidR="00211030">
        <w:rPr>
          <w:lang w:val="en-US" w:eastAsia="fi-FI"/>
        </w:rPr>
        <w:fldChar w:fldCharType="begin"/>
      </w:r>
      <w:r w:rsidR="00211030">
        <w:rPr>
          <w:lang w:val="en-US" w:eastAsia="fi-FI"/>
        </w:rPr>
        <w:instrText xml:space="preserve"> REF _Ref534191950 \r \h </w:instrText>
      </w:r>
      <w:r w:rsidR="00211030">
        <w:rPr>
          <w:lang w:val="en-US" w:eastAsia="fi-FI"/>
        </w:rPr>
      </w:r>
      <w:r w:rsidR="00211030">
        <w:rPr>
          <w:lang w:val="en-US" w:eastAsia="fi-FI"/>
        </w:rPr>
        <w:fldChar w:fldCharType="separate"/>
      </w:r>
      <w:r w:rsidR="00211030">
        <w:rPr>
          <w:lang w:val="en-US" w:eastAsia="fi-FI"/>
        </w:rPr>
        <w:t>[3]</w:t>
      </w:r>
      <w:r w:rsidR="00211030">
        <w:rPr>
          <w:lang w:val="en-US" w:eastAsia="fi-FI"/>
        </w:rPr>
        <w:fldChar w:fldCharType="end"/>
      </w:r>
      <w:r>
        <w:rPr>
          <w:lang w:val="en-US" w:eastAsia="fi-FI"/>
        </w:rPr>
        <w:t xml:space="preserve">, </w:t>
      </w:r>
      <w:r w:rsidRPr="00ED270C">
        <w:rPr>
          <w:lang w:val="en-US" w:eastAsia="fi-FI"/>
        </w:rPr>
        <w:t xml:space="preserve">RAN1#93 </w:t>
      </w:r>
      <w:r w:rsidR="00211030">
        <w:rPr>
          <w:lang w:val="en-US" w:eastAsia="fi-FI"/>
        </w:rPr>
        <w:fldChar w:fldCharType="begin"/>
      </w:r>
      <w:r w:rsidR="00211030">
        <w:rPr>
          <w:lang w:val="en-US" w:eastAsia="fi-FI"/>
        </w:rPr>
        <w:instrText xml:space="preserve"> REF _Ref534191957 \r \h </w:instrText>
      </w:r>
      <w:r w:rsidR="00211030">
        <w:rPr>
          <w:lang w:val="en-US" w:eastAsia="fi-FI"/>
        </w:rPr>
      </w:r>
      <w:r w:rsidR="00211030">
        <w:rPr>
          <w:lang w:val="en-US" w:eastAsia="fi-FI"/>
        </w:rPr>
        <w:fldChar w:fldCharType="separate"/>
      </w:r>
      <w:r w:rsidR="00211030">
        <w:rPr>
          <w:lang w:val="en-US" w:eastAsia="fi-FI"/>
        </w:rPr>
        <w:t>[4]</w:t>
      </w:r>
      <w:r w:rsidR="00211030">
        <w:rPr>
          <w:lang w:val="en-US" w:eastAsia="fi-FI"/>
        </w:rPr>
        <w:fldChar w:fldCharType="end"/>
      </w:r>
      <w:r w:rsidR="00F8531A">
        <w:rPr>
          <w:lang w:val="en-US" w:eastAsia="fi-FI"/>
        </w:rPr>
        <w:t xml:space="preserve">, </w:t>
      </w:r>
      <w:r w:rsidR="00F8531A">
        <w:t xml:space="preserve">and RAN1#94 </w:t>
      </w:r>
      <w:r w:rsidR="00211030">
        <w:fldChar w:fldCharType="begin"/>
      </w:r>
      <w:r w:rsidR="00211030">
        <w:instrText xml:space="preserve"> REF _Ref534191970 \r \h </w:instrText>
      </w:r>
      <w:r w:rsidR="00211030">
        <w:fldChar w:fldCharType="separate"/>
      </w:r>
      <w:r w:rsidR="00211030">
        <w:t>[5]</w:t>
      </w:r>
      <w:r w:rsidR="00211030">
        <w:fldChar w:fldCharType="end"/>
      </w:r>
      <w:r w:rsidR="00F8531A">
        <w:rPr>
          <w:i/>
        </w:rPr>
        <w:t xml:space="preserve"> </w:t>
      </w:r>
      <w:r w:rsidR="00F8531A">
        <w:t xml:space="preserve">and </w:t>
      </w:r>
      <w:r>
        <w:t>RAN1#94</w:t>
      </w:r>
      <w:r w:rsidR="00F8531A">
        <w:t xml:space="preserve">bis </w:t>
      </w:r>
      <w:r w:rsidR="00211030">
        <w:fldChar w:fldCharType="begin"/>
      </w:r>
      <w:r w:rsidR="00211030">
        <w:instrText xml:space="preserve"> REF _Ref534191975 \r \h </w:instrText>
      </w:r>
      <w:r w:rsidR="00211030">
        <w:fldChar w:fldCharType="separate"/>
      </w:r>
      <w:r w:rsidR="00211030">
        <w:t>[6]</w:t>
      </w:r>
      <w:r w:rsidR="00211030">
        <w:fldChar w:fldCharType="end"/>
      </w:r>
      <w:r w:rsidR="002C28CE">
        <w:t>and RAN1#9</w:t>
      </w:r>
      <w:r w:rsidR="00211030">
        <w:t>5</w:t>
      </w:r>
      <w:r w:rsidR="002C28CE">
        <w:t xml:space="preserve"> </w:t>
      </w:r>
      <w:r w:rsidR="00211030">
        <w:rPr>
          <w:highlight w:val="yellow"/>
        </w:rPr>
        <w:fldChar w:fldCharType="begin"/>
      </w:r>
      <w:r w:rsidR="00211030">
        <w:instrText xml:space="preserve"> REF _Ref534191982 \r \h </w:instrText>
      </w:r>
      <w:r w:rsidR="00211030">
        <w:rPr>
          <w:highlight w:val="yellow"/>
        </w:rPr>
      </w:r>
      <w:r w:rsidR="00211030">
        <w:rPr>
          <w:highlight w:val="yellow"/>
        </w:rPr>
        <w:fldChar w:fldCharType="separate"/>
      </w:r>
      <w:r w:rsidR="00211030">
        <w:t>[7]</w:t>
      </w:r>
      <w:r w:rsidR="00211030">
        <w:rPr>
          <w:highlight w:val="yellow"/>
        </w:rPr>
        <w:fldChar w:fldCharType="end"/>
      </w:r>
      <w:r w:rsidR="00211030">
        <w:t xml:space="preserve"> </w:t>
      </w:r>
      <w:r>
        <w:t>are listed in the Appendix.</w:t>
      </w:r>
    </w:p>
    <w:p w14:paraId="0E4E4A2D" w14:textId="301A58C5" w:rsidR="00011A68" w:rsidRDefault="00011A68" w:rsidP="00BF0F3A">
      <w:pPr>
        <w:pStyle w:val="Heading1"/>
      </w:pPr>
      <w:r>
        <w:t>Wideband operation</w:t>
      </w:r>
    </w:p>
    <w:p w14:paraId="65E35C77" w14:textId="55F84A0B" w:rsidR="008826D5" w:rsidRPr="008826D5" w:rsidRDefault="008826D5" w:rsidP="007E1286">
      <w:pPr>
        <w:overflowPunct/>
        <w:autoSpaceDE/>
        <w:autoSpaceDN/>
        <w:adjustRightInd/>
        <w:spacing w:after="120"/>
        <w:rPr>
          <w:rFonts w:eastAsia="ヒラギノ角ゴ Pro W3"/>
          <w:kern w:val="24"/>
        </w:rPr>
      </w:pPr>
      <w:r w:rsidRPr="008826D5">
        <w:rPr>
          <w:rFonts w:eastAsia="ヒラギノ角ゴ Pro W3"/>
          <w:kern w:val="24"/>
        </w:rPr>
        <w:t>In RAN1</w:t>
      </w:r>
      <w:r>
        <w:rPr>
          <w:rFonts w:eastAsia="ヒラギノ角ゴ Pro W3"/>
          <w:kern w:val="24"/>
        </w:rPr>
        <w:t xml:space="preserve">#94b, 4 options on how to operate NRU wideband were identified. </w:t>
      </w:r>
    </w:p>
    <w:p w14:paraId="06279751" w14:textId="63D05CE7" w:rsidR="007E1286" w:rsidRPr="00841BD4" w:rsidRDefault="007E1286" w:rsidP="00AE66BC">
      <w:pPr>
        <w:overflowPunct/>
        <w:autoSpaceDE/>
        <w:autoSpaceDN/>
        <w:adjustRightInd/>
        <w:spacing w:after="0"/>
        <w:ind w:left="284"/>
        <w:rPr>
          <w:rFonts w:eastAsia="Times New Roman"/>
          <w:sz w:val="24"/>
          <w:szCs w:val="24"/>
          <w:lang w:val="en-US"/>
        </w:rPr>
      </w:pPr>
      <w:r w:rsidRPr="00670720">
        <w:rPr>
          <w:rFonts w:ascii="Nokia Pure Text Light" w:eastAsia="ヒラギノ角ゴ Pro W3" w:hAnsi="Nokia Pure Text Light" w:cs="ヒラギノ角ゴ Pro W3"/>
          <w:kern w:val="24"/>
          <w:sz w:val="14"/>
          <w:szCs w:val="14"/>
          <w:highlight w:val="green"/>
        </w:rPr>
        <w:t>Agreement:</w:t>
      </w:r>
    </w:p>
    <w:p w14:paraId="37E4AA42" w14:textId="77777777" w:rsidR="007E1286" w:rsidRPr="00670720" w:rsidRDefault="007E1286" w:rsidP="00AE66BC">
      <w:pPr>
        <w:overflowPunct/>
        <w:autoSpaceDE/>
        <w:autoSpaceDN/>
        <w:adjustRightInd/>
        <w:spacing w:after="0"/>
        <w:ind w:left="852"/>
        <w:rPr>
          <w:rFonts w:eastAsia="Times New Roman"/>
          <w:sz w:val="28"/>
          <w:szCs w:val="24"/>
          <w:lang w:val="en-US"/>
        </w:rPr>
      </w:pPr>
      <w:r w:rsidRPr="00670720">
        <w:rPr>
          <w:rFonts w:ascii="Nokia Pure Text Light" w:eastAsia="ヒラギノ角ゴ Pro W3" w:hAnsi="Nokia Pure Text Light" w:cs="ヒラギノ角ゴ Pro W3"/>
          <w:kern w:val="24"/>
          <w:sz w:val="16"/>
          <w:szCs w:val="14"/>
        </w:rPr>
        <w:t>NR-U should support that a serving cell can be configured with bandwidth larger than 20 MHz.</w:t>
      </w:r>
    </w:p>
    <w:p w14:paraId="5A6489C8" w14:textId="77777777" w:rsidR="007E1286" w:rsidRPr="00670720" w:rsidRDefault="007E1286" w:rsidP="00AE66BC">
      <w:pPr>
        <w:overflowPunct/>
        <w:autoSpaceDE/>
        <w:autoSpaceDN/>
        <w:adjustRightInd/>
        <w:spacing w:after="0"/>
        <w:ind w:left="852"/>
        <w:rPr>
          <w:rFonts w:eastAsia="Times New Roman"/>
          <w:sz w:val="32"/>
          <w:szCs w:val="24"/>
          <w:lang w:val="en-US"/>
        </w:rPr>
      </w:pPr>
      <w:r w:rsidRPr="00670720">
        <w:rPr>
          <w:rFonts w:ascii="Nokia Pure Text Light" w:eastAsia="ヒラギノ角ゴ Pro W3" w:hAnsi="Nokia Pure Text Light" w:cs="ヒラギノ角ゴ Pro W3"/>
          <w:kern w:val="24"/>
          <w:sz w:val="16"/>
          <w:szCs w:val="12"/>
        </w:rPr>
        <w:t>For DL operation, the following options for BWP-based operation within a carrier with bandwidth larger than 20 MHz can be considered.</w:t>
      </w:r>
    </w:p>
    <w:p w14:paraId="5E069565" w14:textId="77777777" w:rsidR="007E1286" w:rsidRPr="00670720" w:rsidRDefault="007E1286" w:rsidP="00AE66BC">
      <w:pPr>
        <w:overflowPunct/>
        <w:autoSpaceDE/>
        <w:autoSpaceDN/>
        <w:adjustRightInd/>
        <w:spacing w:after="0"/>
        <w:ind w:left="1561" w:firstLine="11"/>
        <w:rPr>
          <w:rFonts w:eastAsia="Times New Roman"/>
          <w:sz w:val="36"/>
          <w:szCs w:val="24"/>
          <w:lang w:val="en-US"/>
        </w:rPr>
      </w:pPr>
      <w:r w:rsidRPr="00AE66BC">
        <w:rPr>
          <w:rFonts w:ascii="Nokia Pure Text Light" w:eastAsia="ヒラギノ角ゴ Pro W3" w:hAnsi="Nokia Pure Text Light" w:cs="ヒラギノ角ゴ Pro W3"/>
          <w:b/>
          <w:kern w:val="24"/>
          <w:sz w:val="16"/>
          <w:szCs w:val="10"/>
        </w:rPr>
        <w:t>Option 1a:</w:t>
      </w:r>
      <w:r w:rsidRPr="00670720">
        <w:rPr>
          <w:rFonts w:ascii="Nokia Pure Text Light" w:eastAsia="ヒラギノ角ゴ Pro W3" w:hAnsi="Nokia Pure Text Light" w:cs="ヒラギノ角ゴ Pro W3"/>
          <w:kern w:val="24"/>
          <w:sz w:val="16"/>
          <w:szCs w:val="10"/>
        </w:rPr>
        <w:t xml:space="preserve"> Multiple BWPs configured, multiple BWPs activated, transmission of PDSCH on one or more BWPs</w:t>
      </w:r>
    </w:p>
    <w:p w14:paraId="3D9E386E" w14:textId="77777777" w:rsidR="007E1286" w:rsidRPr="00670720" w:rsidRDefault="007E1286" w:rsidP="00AE66BC">
      <w:pPr>
        <w:overflowPunct/>
        <w:autoSpaceDE/>
        <w:autoSpaceDN/>
        <w:adjustRightInd/>
        <w:spacing w:after="0"/>
        <w:ind w:left="1561" w:firstLine="11"/>
        <w:rPr>
          <w:rFonts w:eastAsia="Times New Roman"/>
          <w:sz w:val="36"/>
          <w:szCs w:val="24"/>
          <w:lang w:val="en-US"/>
        </w:rPr>
      </w:pPr>
      <w:r w:rsidRPr="00AE66BC">
        <w:rPr>
          <w:rFonts w:ascii="Nokia Pure Text Light" w:eastAsia="ヒラギノ角ゴ Pro W3" w:hAnsi="Nokia Pure Text Light" w:cs="ヒラギノ角ゴ Pro W3"/>
          <w:b/>
          <w:kern w:val="24"/>
          <w:sz w:val="16"/>
          <w:szCs w:val="10"/>
        </w:rPr>
        <w:t>Option 1b:</w:t>
      </w:r>
      <w:r w:rsidRPr="00670720">
        <w:rPr>
          <w:rFonts w:ascii="Nokia Pure Text Light" w:eastAsia="ヒラギノ角ゴ Pro W3" w:hAnsi="Nokia Pure Text Light" w:cs="ヒラギノ角ゴ Pro W3"/>
          <w:kern w:val="24"/>
          <w:sz w:val="16"/>
          <w:szCs w:val="10"/>
        </w:rPr>
        <w:t xml:space="preserve"> Multiple BWPs configured, multiple BWPs activated, transmission of PDSCH on single BWP</w:t>
      </w:r>
    </w:p>
    <w:p w14:paraId="79E7ADA6" w14:textId="77777777" w:rsidR="007E1286" w:rsidRPr="00670720" w:rsidRDefault="007E1286" w:rsidP="00AE66BC">
      <w:pPr>
        <w:overflowPunct/>
        <w:autoSpaceDE/>
        <w:autoSpaceDN/>
        <w:adjustRightInd/>
        <w:spacing w:after="0"/>
        <w:ind w:left="1561" w:firstLine="11"/>
        <w:rPr>
          <w:rFonts w:eastAsia="Times New Roman"/>
          <w:sz w:val="36"/>
          <w:szCs w:val="24"/>
          <w:lang w:val="en-US"/>
        </w:rPr>
      </w:pPr>
      <w:r w:rsidRPr="00AE66BC">
        <w:rPr>
          <w:rFonts w:ascii="Nokia Pure Text Light" w:eastAsia="ヒラギノ角ゴ Pro W3" w:hAnsi="Nokia Pure Text Light" w:cs="ヒラギノ角ゴ Pro W3"/>
          <w:b/>
          <w:kern w:val="24"/>
          <w:sz w:val="16"/>
          <w:szCs w:val="10"/>
        </w:rPr>
        <w:t>Option 2:</w:t>
      </w:r>
      <w:r w:rsidRPr="00670720">
        <w:rPr>
          <w:rFonts w:ascii="Nokia Pure Text Light" w:eastAsia="ヒラギノ角ゴ Pro W3" w:hAnsi="Nokia Pure Text Light" w:cs="ヒラギノ角ゴ Pro W3"/>
          <w:kern w:val="24"/>
          <w:sz w:val="16"/>
          <w:szCs w:val="10"/>
        </w:rPr>
        <w:t xml:space="preserve"> Multiple BWPs can be configured, single BWP activated, gNB transmits PDSCH on a single BWP if CCA is successful at gNB for the whole BWP</w:t>
      </w:r>
    </w:p>
    <w:p w14:paraId="47FDA367" w14:textId="77777777" w:rsidR="007E1286" w:rsidRPr="00670720" w:rsidRDefault="007E1286" w:rsidP="00AE66BC">
      <w:pPr>
        <w:overflowPunct/>
        <w:autoSpaceDE/>
        <w:autoSpaceDN/>
        <w:adjustRightInd/>
        <w:spacing w:after="0"/>
        <w:ind w:left="1561" w:firstLine="11"/>
        <w:rPr>
          <w:rFonts w:eastAsia="Times New Roman"/>
          <w:sz w:val="36"/>
          <w:szCs w:val="24"/>
          <w:lang w:val="en-US"/>
        </w:rPr>
      </w:pPr>
      <w:r w:rsidRPr="00AE66BC">
        <w:rPr>
          <w:rFonts w:ascii="Nokia Pure Text Light" w:eastAsia="ヒラギノ角ゴ Pro W3" w:hAnsi="Nokia Pure Text Light" w:cs="ヒラギノ角ゴ Pro W3"/>
          <w:b/>
          <w:kern w:val="24"/>
          <w:sz w:val="16"/>
          <w:szCs w:val="10"/>
        </w:rPr>
        <w:t>Option 3:</w:t>
      </w:r>
      <w:r w:rsidRPr="00670720">
        <w:rPr>
          <w:rFonts w:ascii="Nokia Pure Text Light" w:eastAsia="ヒラギノ角ゴ Pro W3" w:hAnsi="Nokia Pure Text Light" w:cs="ヒラギノ角ゴ Pro W3"/>
          <w:kern w:val="24"/>
          <w:sz w:val="16"/>
          <w:szCs w:val="10"/>
        </w:rPr>
        <w:t xml:space="preserve"> Multiple BWPs can be configured, single B</w:t>
      </w:r>
      <w:bookmarkStart w:id="0" w:name="_Hlk534876685"/>
      <w:r w:rsidRPr="00670720">
        <w:rPr>
          <w:rFonts w:ascii="Nokia Pure Text Light" w:eastAsia="ヒラギノ角ゴ Pro W3" w:hAnsi="Nokia Pure Text Light" w:cs="ヒラギノ角ゴ Pro W3"/>
          <w:kern w:val="24"/>
          <w:sz w:val="16"/>
          <w:szCs w:val="10"/>
        </w:rPr>
        <w:t>WP activated, gNB transmits PDSCH on parts or whole of single BWP where CCA is successful at gNB</w:t>
      </w:r>
      <w:bookmarkEnd w:id="0"/>
    </w:p>
    <w:p w14:paraId="6872880C" w14:textId="77777777" w:rsidR="007E1286" w:rsidRPr="00670720" w:rsidRDefault="007E1286" w:rsidP="00AE66BC">
      <w:pPr>
        <w:overflowPunct/>
        <w:autoSpaceDE/>
        <w:autoSpaceDN/>
        <w:adjustRightInd/>
        <w:spacing w:after="0"/>
        <w:ind w:left="852"/>
        <w:rPr>
          <w:rFonts w:eastAsia="Times New Roman"/>
          <w:sz w:val="32"/>
          <w:szCs w:val="24"/>
          <w:lang w:val="en-US"/>
        </w:rPr>
      </w:pPr>
      <w:r w:rsidRPr="00670720">
        <w:rPr>
          <w:rFonts w:ascii="Nokia Pure Text Light" w:eastAsia="ヒラギノ角ゴ Pro W3" w:hAnsi="Nokia Pure Text Light" w:cs="ヒラギノ角ゴ Pro W3"/>
          <w:kern w:val="24"/>
          <w:sz w:val="16"/>
          <w:szCs w:val="12"/>
        </w:rPr>
        <w:t>Note: CCA is declared to be successful or not in multiples of 20 MHz.</w:t>
      </w:r>
    </w:p>
    <w:p w14:paraId="0CDA2834" w14:textId="77777777" w:rsidR="007E1286" w:rsidRPr="00BC5CCB" w:rsidRDefault="007E1286" w:rsidP="00AE66BC">
      <w:pPr>
        <w:overflowPunct/>
        <w:autoSpaceDE/>
        <w:autoSpaceDN/>
        <w:adjustRightInd/>
        <w:spacing w:after="0"/>
        <w:ind w:left="852"/>
        <w:rPr>
          <w:rFonts w:eastAsia="Times New Roman"/>
          <w:sz w:val="32"/>
          <w:szCs w:val="24"/>
          <w:lang w:val="en-US"/>
        </w:rPr>
      </w:pPr>
      <w:r w:rsidRPr="00BC5CCB">
        <w:rPr>
          <w:rFonts w:ascii="Nokia Pure Text Light" w:eastAsia="ヒラギノ角ゴ Pro W3" w:hAnsi="Nokia Pure Text Light" w:cs="ヒラギノ角ゴ Pro W3"/>
          <w:kern w:val="24"/>
          <w:sz w:val="16"/>
          <w:szCs w:val="12"/>
        </w:rPr>
        <w:t>FFS for UL operation including some or all of above options can be applied</w:t>
      </w:r>
    </w:p>
    <w:p w14:paraId="2844FF53" w14:textId="77777777" w:rsidR="007E1286" w:rsidRPr="00670720" w:rsidRDefault="007E1286" w:rsidP="00AE66BC">
      <w:pPr>
        <w:overflowPunct/>
        <w:autoSpaceDE/>
        <w:autoSpaceDN/>
        <w:adjustRightInd/>
        <w:spacing w:after="0"/>
        <w:ind w:left="852"/>
        <w:rPr>
          <w:rFonts w:eastAsia="Times New Roman"/>
          <w:sz w:val="28"/>
          <w:szCs w:val="24"/>
          <w:lang w:val="en-US"/>
        </w:rPr>
      </w:pPr>
      <w:r w:rsidRPr="00BC5CCB">
        <w:rPr>
          <w:rFonts w:ascii="Nokia Pure Text Light" w:eastAsia="ヒラギノ角ゴ Pro W3" w:hAnsi="Nokia Pure Text Light" w:cs="ヒラギノ角ゴ Pro W3"/>
          <w:kern w:val="24"/>
          <w:sz w:val="16"/>
          <w:szCs w:val="14"/>
        </w:rPr>
        <w:t>Note: Capture the following in TR only after further discussion for down-selecting from the options in RAN1#95.</w:t>
      </w:r>
    </w:p>
    <w:p w14:paraId="3412761E" w14:textId="77777777" w:rsidR="007476A2" w:rsidRDefault="007476A2" w:rsidP="00AE66BC">
      <w:pPr>
        <w:spacing w:after="0"/>
        <w:jc w:val="both"/>
        <w:rPr>
          <w:rFonts w:cs="Arial"/>
          <w:color w:val="000000" w:themeColor="text1"/>
          <w:lang w:val="en-US"/>
        </w:rPr>
      </w:pPr>
    </w:p>
    <w:p w14:paraId="1195AFC0" w14:textId="678352F5" w:rsidR="00E34E72" w:rsidRDefault="00E34E72" w:rsidP="00627991">
      <w:pPr>
        <w:jc w:val="both"/>
        <w:rPr>
          <w:rFonts w:cs="Arial"/>
          <w:color w:val="000000" w:themeColor="text1"/>
          <w:lang w:val="en-US"/>
        </w:rPr>
      </w:pPr>
      <w:r>
        <w:rPr>
          <w:rFonts w:cs="Arial"/>
          <w:color w:val="000000" w:themeColor="text1"/>
          <w:lang w:val="en-US"/>
        </w:rPr>
        <w:t xml:space="preserve">Furthermore, in </w:t>
      </w:r>
      <w:r w:rsidR="000A2EEA">
        <w:rPr>
          <w:rFonts w:cs="Arial"/>
          <w:color w:val="000000" w:themeColor="text1"/>
          <w:lang w:val="en-US"/>
        </w:rPr>
        <w:t>Spokane RAN4#89</w:t>
      </w:r>
      <w:r>
        <w:rPr>
          <w:rFonts w:cs="Arial"/>
          <w:color w:val="000000" w:themeColor="text1"/>
          <w:lang w:val="en-US"/>
        </w:rPr>
        <w:t>, R</w:t>
      </w:r>
      <w:r w:rsidR="000A2EEA">
        <w:rPr>
          <w:rFonts w:cs="Arial"/>
          <w:color w:val="000000" w:themeColor="text1"/>
          <w:lang w:val="en-US"/>
        </w:rPr>
        <w:t>AN4 sent a reply to RAN1</w:t>
      </w:r>
      <w:r>
        <w:rPr>
          <w:rFonts w:cs="Arial"/>
          <w:color w:val="000000" w:themeColor="text1"/>
          <w:lang w:val="en-US"/>
        </w:rPr>
        <w:t xml:space="preserve"> LS in </w:t>
      </w:r>
      <w:r w:rsidR="000A2EEA">
        <w:rPr>
          <w:rFonts w:cs="Arial"/>
          <w:color w:val="000000" w:themeColor="text1"/>
          <w:lang w:val="en-US"/>
        </w:rPr>
        <w:fldChar w:fldCharType="begin"/>
      </w:r>
      <w:r w:rsidR="000A2EEA">
        <w:rPr>
          <w:rFonts w:cs="Arial"/>
          <w:color w:val="000000" w:themeColor="text1"/>
          <w:lang w:val="en-US"/>
        </w:rPr>
        <w:instrText xml:space="preserve"> REF _Ref534196039 \r \h </w:instrText>
      </w:r>
      <w:r w:rsidR="000A2EEA">
        <w:rPr>
          <w:rFonts w:cs="Arial"/>
          <w:color w:val="000000" w:themeColor="text1"/>
          <w:lang w:val="en-US"/>
        </w:rPr>
      </w:r>
      <w:r w:rsidR="000A2EEA">
        <w:rPr>
          <w:rFonts w:cs="Arial"/>
          <w:color w:val="000000" w:themeColor="text1"/>
          <w:lang w:val="en-US"/>
        </w:rPr>
        <w:fldChar w:fldCharType="separate"/>
      </w:r>
      <w:r w:rsidR="000A2EEA">
        <w:rPr>
          <w:rFonts w:cs="Arial"/>
          <w:color w:val="000000" w:themeColor="text1"/>
          <w:lang w:val="en-US"/>
        </w:rPr>
        <w:t>[8]</w:t>
      </w:r>
      <w:r w:rsidR="000A2EEA">
        <w:rPr>
          <w:rFonts w:cs="Arial"/>
          <w:color w:val="000000" w:themeColor="text1"/>
          <w:lang w:val="en-US"/>
        </w:rPr>
        <w:fldChar w:fldCharType="end"/>
      </w:r>
    </w:p>
    <w:p w14:paraId="37109D70" w14:textId="77777777" w:rsidR="007648A5" w:rsidRPr="000A2EEA" w:rsidRDefault="007648A5" w:rsidP="00D7163D">
      <w:pPr>
        <w:numPr>
          <w:ilvl w:val="0"/>
          <w:numId w:val="13"/>
        </w:numPr>
        <w:overflowPunct/>
        <w:autoSpaceDE/>
        <w:autoSpaceDN/>
        <w:adjustRightInd/>
        <w:spacing w:after="0"/>
        <w:textAlignment w:val="auto"/>
        <w:rPr>
          <w:rFonts w:ascii="Arial" w:hAnsi="Arial" w:cs="Arial"/>
          <w:i/>
          <w:color w:val="0070C0"/>
          <w:sz w:val="18"/>
          <w:szCs w:val="18"/>
        </w:rPr>
      </w:pPr>
      <w:r w:rsidRPr="000A2EEA">
        <w:rPr>
          <w:rFonts w:ascii="Arial" w:hAnsi="Arial" w:cs="Arial"/>
          <w:b/>
          <w:i/>
          <w:color w:val="0070C0"/>
          <w:sz w:val="18"/>
          <w:szCs w:val="18"/>
        </w:rPr>
        <w:t>Question 1</w:t>
      </w:r>
      <w:r w:rsidRPr="000A2EEA">
        <w:rPr>
          <w:rFonts w:ascii="Arial" w:hAnsi="Arial" w:cs="Arial"/>
          <w:i/>
          <w:color w:val="0070C0"/>
          <w:sz w:val="18"/>
          <w:szCs w:val="18"/>
        </w:rPr>
        <w:t>: Will there be a need for RF requirements within a wideband carrier (&gt; 20 MHz) that spans multiple “LBT sub-bands?” Please consider transmit/receive requirements at both gNB and UE.</w:t>
      </w:r>
    </w:p>
    <w:p w14:paraId="7B95065A" w14:textId="5C674CCF" w:rsidR="007648A5" w:rsidRPr="000A2EEA" w:rsidRDefault="007648A5" w:rsidP="00AE66BC">
      <w:pPr>
        <w:spacing w:after="0"/>
        <w:ind w:left="720"/>
        <w:rPr>
          <w:i/>
          <w:sz w:val="18"/>
          <w:szCs w:val="18"/>
          <w:lang w:val="en-US"/>
        </w:rPr>
      </w:pPr>
      <w:r w:rsidRPr="000A2EEA">
        <w:rPr>
          <w:i/>
          <w:sz w:val="18"/>
          <w:szCs w:val="18"/>
          <w:lang w:val="en-US"/>
        </w:rPr>
        <w:t xml:space="preserve">New RF requirements would be needed for transmission options as described in RAN1 LS, such as: </w:t>
      </w:r>
    </w:p>
    <w:p w14:paraId="1F21AF65" w14:textId="77777777" w:rsidR="007648A5" w:rsidRPr="000A2EEA" w:rsidRDefault="007648A5" w:rsidP="00AE66BC">
      <w:pPr>
        <w:numPr>
          <w:ilvl w:val="0"/>
          <w:numId w:val="14"/>
        </w:numPr>
        <w:overflowPunct/>
        <w:autoSpaceDE/>
        <w:autoSpaceDN/>
        <w:adjustRightInd/>
        <w:spacing w:after="0"/>
        <w:ind w:left="1443"/>
        <w:textAlignment w:val="auto"/>
        <w:rPr>
          <w:i/>
          <w:sz w:val="18"/>
          <w:szCs w:val="18"/>
          <w:lang w:val="en-US"/>
        </w:rPr>
      </w:pPr>
      <w:r w:rsidRPr="000A2EEA">
        <w:rPr>
          <w:i/>
          <w:sz w:val="18"/>
          <w:szCs w:val="18"/>
          <w:lang w:val="en-US"/>
        </w:rPr>
        <w:t>In-carrier leakage and blocking requirement: this will be required at the “gap(s)” where CCA fails.</w:t>
      </w:r>
    </w:p>
    <w:p w14:paraId="6A52838A" w14:textId="77777777" w:rsidR="007648A5" w:rsidRPr="000A2EEA" w:rsidRDefault="007648A5" w:rsidP="00AE66BC">
      <w:pPr>
        <w:numPr>
          <w:ilvl w:val="0"/>
          <w:numId w:val="14"/>
        </w:numPr>
        <w:overflowPunct/>
        <w:autoSpaceDE/>
        <w:autoSpaceDN/>
        <w:adjustRightInd/>
        <w:spacing w:after="0"/>
        <w:ind w:left="1443"/>
        <w:textAlignment w:val="auto"/>
        <w:rPr>
          <w:i/>
          <w:sz w:val="18"/>
          <w:szCs w:val="18"/>
          <w:lang w:val="en-US"/>
        </w:rPr>
      </w:pPr>
      <w:r w:rsidRPr="000A2EEA">
        <w:rPr>
          <w:i/>
          <w:sz w:val="18"/>
          <w:szCs w:val="18"/>
          <w:lang w:val="en-US"/>
        </w:rPr>
        <w:t>“Out-of-BWP” (however within the wideband carrier) leakage requirement: this may be required at the edges of BWP within the wideband carrier bandwidth.</w:t>
      </w:r>
    </w:p>
    <w:p w14:paraId="17147827" w14:textId="1C5EC004" w:rsidR="007648A5" w:rsidRPr="000A2EEA" w:rsidRDefault="007648A5" w:rsidP="00AE66BC">
      <w:pPr>
        <w:ind w:left="720"/>
        <w:rPr>
          <w:i/>
          <w:sz w:val="18"/>
          <w:szCs w:val="18"/>
          <w:lang w:val="en-US"/>
        </w:rPr>
      </w:pPr>
      <w:r w:rsidRPr="000A2EEA">
        <w:rPr>
          <w:i/>
          <w:sz w:val="18"/>
          <w:szCs w:val="18"/>
          <w:lang w:val="en-US"/>
        </w:rPr>
        <w:t xml:space="preserve">RAN4 understands that there are potential challenges to define such requirements for some of the transmission options as shown in the LS (more than 20MHz transmission bandwidth when LBT fails in any “internal” LBT sub-band in the transmission bandwidth). </w:t>
      </w:r>
      <w:r w:rsidRPr="000A2EEA">
        <w:rPr>
          <w:i/>
          <w:sz w:val="18"/>
          <w:szCs w:val="18"/>
          <w:highlight w:val="yellow"/>
          <w:lang w:val="en-US"/>
        </w:rPr>
        <w:t>However, for transmissions spanning multiple contiguous LBT sub-bands, requirements can be specified. RAN4 will study all these further in future meetings.</w:t>
      </w:r>
      <w:r w:rsidRPr="000A2EEA">
        <w:rPr>
          <w:i/>
          <w:sz w:val="18"/>
          <w:szCs w:val="18"/>
          <w:lang w:val="en-US"/>
        </w:rPr>
        <w:t xml:space="preserve"> </w:t>
      </w:r>
    </w:p>
    <w:p w14:paraId="31FF4EC6" w14:textId="77777777" w:rsidR="007648A5" w:rsidRPr="000A2EEA" w:rsidRDefault="007648A5" w:rsidP="00D7163D">
      <w:pPr>
        <w:numPr>
          <w:ilvl w:val="0"/>
          <w:numId w:val="13"/>
        </w:numPr>
        <w:overflowPunct/>
        <w:autoSpaceDE/>
        <w:autoSpaceDN/>
        <w:adjustRightInd/>
        <w:spacing w:after="0"/>
        <w:textAlignment w:val="auto"/>
        <w:rPr>
          <w:rFonts w:ascii="Arial" w:hAnsi="Arial" w:cs="Arial"/>
          <w:i/>
          <w:color w:val="0070C0"/>
          <w:sz w:val="18"/>
          <w:szCs w:val="18"/>
        </w:rPr>
      </w:pPr>
      <w:r w:rsidRPr="000A2EEA">
        <w:rPr>
          <w:rFonts w:ascii="Arial" w:hAnsi="Arial" w:cs="Arial"/>
          <w:b/>
          <w:i/>
          <w:color w:val="0070C0"/>
          <w:sz w:val="18"/>
          <w:szCs w:val="18"/>
        </w:rPr>
        <w:t>Question 2</w:t>
      </w:r>
      <w:r w:rsidRPr="000A2EEA">
        <w:rPr>
          <w:rFonts w:ascii="Arial" w:hAnsi="Arial" w:cs="Arial"/>
          <w:i/>
          <w:color w:val="0070C0"/>
          <w:sz w:val="18"/>
          <w:szCs w:val="18"/>
        </w:rPr>
        <w:t>: Will guard bands be needed at the edges of each “LBT sub-band”?</w:t>
      </w:r>
    </w:p>
    <w:p w14:paraId="35D88F1B" w14:textId="01A81C4D" w:rsidR="007648A5" w:rsidRPr="000A2EEA" w:rsidRDefault="007648A5" w:rsidP="00AE66BC">
      <w:pPr>
        <w:ind w:left="720"/>
        <w:rPr>
          <w:rFonts w:ascii="Arial" w:hAnsi="Arial" w:cs="Arial"/>
          <w:i/>
          <w:color w:val="0070C0"/>
          <w:sz w:val="18"/>
          <w:szCs w:val="18"/>
          <w:lang w:val="en-US"/>
        </w:rPr>
      </w:pPr>
      <w:r w:rsidRPr="000A2EEA">
        <w:rPr>
          <w:i/>
          <w:sz w:val="18"/>
          <w:szCs w:val="18"/>
          <w:lang w:val="en-US"/>
        </w:rPr>
        <w:t xml:space="preserve">Guard bands may or may not be needed and this needs further investigations depending on RF requirements for UE and gNB, etc. RAN4 would need to do further analysis on how to specify them. </w:t>
      </w:r>
    </w:p>
    <w:p w14:paraId="4FF6D619" w14:textId="30CE6AB9" w:rsidR="007648A5" w:rsidRPr="000A2EEA" w:rsidRDefault="000A2EEA" w:rsidP="007648A5">
      <w:pPr>
        <w:rPr>
          <w:lang w:val="en-US"/>
        </w:rPr>
      </w:pPr>
      <w:r w:rsidRPr="000A2EEA">
        <w:rPr>
          <w:lang w:val="en-US"/>
        </w:rPr>
        <w:t>The</w:t>
      </w:r>
      <w:r>
        <w:rPr>
          <w:lang w:val="en-US"/>
        </w:rPr>
        <w:t xml:space="preserve"> RAN4 LS states that </w:t>
      </w:r>
      <w:r w:rsidRPr="00F80F28">
        <w:rPr>
          <w:b/>
          <w:lang w:val="en-US"/>
        </w:rPr>
        <w:t>it is feasible</w:t>
      </w:r>
      <w:r>
        <w:rPr>
          <w:lang w:val="en-US"/>
        </w:rPr>
        <w:t xml:space="preserve"> to define requirements also for </w:t>
      </w:r>
      <w:r w:rsidR="00F80F28">
        <w:rPr>
          <w:lang w:val="en-US"/>
        </w:rPr>
        <w:t xml:space="preserve">the case when Tx BW is smaller than BWP, </w:t>
      </w:r>
      <w:r w:rsidR="00F80F28" w:rsidRPr="00F80F28">
        <w:rPr>
          <w:b/>
          <w:lang w:val="en-US"/>
        </w:rPr>
        <w:t>as soon as the Tx BW is contiguous set of LBT sub-bands</w:t>
      </w:r>
      <w:r w:rsidR="00F80F28">
        <w:rPr>
          <w:lang w:val="en-US"/>
        </w:rPr>
        <w:t xml:space="preserve">.  </w:t>
      </w:r>
    </w:p>
    <w:p w14:paraId="321432C8" w14:textId="5A857796" w:rsidR="007648A5" w:rsidRPr="00F80F28" w:rsidRDefault="00F80F28" w:rsidP="00627991">
      <w:pPr>
        <w:jc w:val="both"/>
        <w:rPr>
          <w:i/>
          <w:color w:val="000000" w:themeColor="text1"/>
          <w:lang w:val="en-US"/>
        </w:rPr>
      </w:pPr>
      <w:r>
        <w:rPr>
          <w:b/>
          <w:i/>
          <w:color w:val="000000" w:themeColor="text1"/>
          <w:lang w:val="en-US"/>
        </w:rPr>
        <w:t xml:space="preserve">Observation </w:t>
      </w:r>
      <w:r w:rsidRPr="00F80F28">
        <w:rPr>
          <w:b/>
          <w:i/>
          <w:color w:val="000000" w:themeColor="text1"/>
          <w:lang w:val="en-US"/>
        </w:rPr>
        <w:t>1</w:t>
      </w:r>
      <w:r w:rsidRPr="00F80F28">
        <w:rPr>
          <w:i/>
          <w:color w:val="000000" w:themeColor="text1"/>
          <w:lang w:val="en-US"/>
        </w:rPr>
        <w:t>: RAN4 considers Option 3 feasib</w:t>
      </w:r>
      <w:r>
        <w:rPr>
          <w:i/>
          <w:color w:val="000000" w:themeColor="text1"/>
          <w:lang w:val="en-US"/>
        </w:rPr>
        <w:t xml:space="preserve">le </w:t>
      </w:r>
      <w:r w:rsidR="007027E0">
        <w:rPr>
          <w:i/>
          <w:color w:val="000000" w:themeColor="text1"/>
          <w:lang w:val="en-US"/>
        </w:rPr>
        <w:t xml:space="preserve">as </w:t>
      </w:r>
      <w:r>
        <w:rPr>
          <w:i/>
          <w:color w:val="000000" w:themeColor="text1"/>
          <w:lang w:val="en-US"/>
        </w:rPr>
        <w:t xml:space="preserve">with restriction that the parts of the active BWP are contiguous in frequency. </w:t>
      </w:r>
    </w:p>
    <w:p w14:paraId="5623B688" w14:textId="24A1A347" w:rsidR="00F321F1" w:rsidRDefault="00F321F1" w:rsidP="00627991">
      <w:pPr>
        <w:jc w:val="both"/>
        <w:rPr>
          <w:rFonts w:cs="Arial"/>
          <w:color w:val="000000" w:themeColor="text1"/>
          <w:lang w:val="en-US"/>
        </w:rPr>
      </w:pPr>
      <w:r>
        <w:rPr>
          <w:rFonts w:cs="Arial"/>
          <w:color w:val="000000" w:themeColor="text1"/>
          <w:lang w:val="en-US"/>
        </w:rPr>
        <w:lastRenderedPageBreak/>
        <w:t>Before going to down-selection</w:t>
      </w:r>
      <w:r w:rsidR="00181756">
        <w:rPr>
          <w:rFonts w:cs="Arial"/>
          <w:color w:val="000000" w:themeColor="text1"/>
          <w:lang w:val="en-US"/>
        </w:rPr>
        <w:t xml:space="preserve"> of above four</w:t>
      </w:r>
      <w:r>
        <w:rPr>
          <w:rFonts w:cs="Arial"/>
          <w:color w:val="000000" w:themeColor="text1"/>
          <w:lang w:val="en-US"/>
        </w:rPr>
        <w:t xml:space="preserve"> Options</w:t>
      </w:r>
      <w:r w:rsidR="00181756">
        <w:rPr>
          <w:rFonts w:cs="Arial"/>
          <w:color w:val="000000" w:themeColor="text1"/>
          <w:lang w:val="en-US"/>
        </w:rPr>
        <w:t>,</w:t>
      </w:r>
      <w:r>
        <w:rPr>
          <w:rFonts w:cs="Arial"/>
          <w:color w:val="000000" w:themeColor="text1"/>
          <w:lang w:val="en-US"/>
        </w:rPr>
        <w:t xml:space="preserve"> it should be clarified that BWP </w:t>
      </w:r>
      <w:r w:rsidR="00181756">
        <w:rPr>
          <w:rFonts w:cs="Arial"/>
          <w:color w:val="000000" w:themeColor="text1"/>
          <w:lang w:val="en-US"/>
        </w:rPr>
        <w:t>feature</w:t>
      </w:r>
      <w:r>
        <w:rPr>
          <w:rFonts w:cs="Arial"/>
          <w:color w:val="000000" w:themeColor="text1"/>
          <w:lang w:val="en-US"/>
        </w:rPr>
        <w:t xml:space="preserve"> designed in R15 is to be supported also in NR-U. </w:t>
      </w:r>
      <w:r w:rsidR="00181756">
        <w:rPr>
          <w:rFonts w:cs="Arial"/>
          <w:color w:val="000000" w:themeColor="text1"/>
          <w:lang w:val="en-US"/>
        </w:rPr>
        <w:t xml:space="preserve">R15 BWP feature </w:t>
      </w:r>
      <w:r>
        <w:rPr>
          <w:rFonts w:cs="Arial"/>
          <w:color w:val="000000" w:themeColor="text1"/>
          <w:lang w:val="en-US"/>
        </w:rPr>
        <w:t>target</w:t>
      </w:r>
      <w:r w:rsidR="00C1091D">
        <w:rPr>
          <w:rFonts w:cs="Arial"/>
          <w:color w:val="000000" w:themeColor="text1"/>
          <w:lang w:val="en-US"/>
        </w:rPr>
        <w:t>s</w:t>
      </w:r>
      <w:r>
        <w:rPr>
          <w:rFonts w:cs="Arial"/>
          <w:color w:val="000000" w:themeColor="text1"/>
          <w:lang w:val="en-US"/>
        </w:rPr>
        <w:t xml:space="preserve"> the power-saving aspects</w:t>
      </w:r>
      <w:r w:rsidR="00C1091D">
        <w:rPr>
          <w:rFonts w:cs="Arial"/>
          <w:color w:val="000000" w:themeColor="text1"/>
          <w:lang w:val="en-US"/>
        </w:rPr>
        <w:t>, achieved</w:t>
      </w:r>
      <w:r>
        <w:rPr>
          <w:rFonts w:cs="Arial"/>
          <w:color w:val="000000" w:themeColor="text1"/>
          <w:lang w:val="en-US"/>
        </w:rPr>
        <w:t xml:space="preserve"> by switching between narrow and wide BWP </w:t>
      </w:r>
      <w:r w:rsidR="00181756">
        <w:rPr>
          <w:rFonts w:cs="Arial"/>
          <w:color w:val="000000" w:themeColor="text1"/>
          <w:lang w:val="en-US"/>
        </w:rPr>
        <w:t xml:space="preserve">given </w:t>
      </w:r>
      <w:r>
        <w:rPr>
          <w:rFonts w:cs="Arial"/>
          <w:color w:val="000000" w:themeColor="text1"/>
          <w:lang w:val="en-US"/>
        </w:rPr>
        <w:t>the traffic profile</w:t>
      </w:r>
      <w:r w:rsidR="00181756">
        <w:rPr>
          <w:rFonts w:cs="Arial"/>
          <w:color w:val="000000" w:themeColor="text1"/>
          <w:lang w:val="en-US"/>
        </w:rPr>
        <w:t>. BWP switching</w:t>
      </w:r>
      <w:r>
        <w:rPr>
          <w:rFonts w:cs="Arial"/>
          <w:color w:val="000000" w:themeColor="text1"/>
          <w:lang w:val="en-US"/>
        </w:rPr>
        <w:t xml:space="preserve"> includ</w:t>
      </w:r>
      <w:r w:rsidR="00181756">
        <w:rPr>
          <w:rFonts w:cs="Arial"/>
          <w:color w:val="000000" w:themeColor="text1"/>
          <w:lang w:val="en-US"/>
        </w:rPr>
        <w:t>es</w:t>
      </w:r>
      <w:r>
        <w:rPr>
          <w:rFonts w:cs="Arial"/>
          <w:color w:val="000000" w:themeColor="text1"/>
          <w:lang w:val="en-US"/>
        </w:rPr>
        <w:t xml:space="preserve"> RRC-based, scheduling DCI-based BWP switching and </w:t>
      </w:r>
      <w:r w:rsidR="00181756">
        <w:rPr>
          <w:rFonts w:cs="Arial"/>
          <w:color w:val="000000" w:themeColor="text1"/>
          <w:lang w:val="en-US"/>
        </w:rPr>
        <w:t>switching b</w:t>
      </w:r>
      <w:r w:rsidR="00141442">
        <w:rPr>
          <w:rFonts w:cs="Arial"/>
          <w:color w:val="000000" w:themeColor="text1"/>
          <w:lang w:val="en-US"/>
        </w:rPr>
        <w:t>y</w:t>
      </w:r>
      <w:r w:rsidR="00181756">
        <w:rPr>
          <w:rFonts w:cs="Arial"/>
          <w:color w:val="000000" w:themeColor="text1"/>
          <w:lang w:val="en-US"/>
        </w:rPr>
        <w:t xml:space="preserve"> </w:t>
      </w:r>
      <w:r>
        <w:rPr>
          <w:rFonts w:cs="Arial"/>
          <w:color w:val="000000" w:themeColor="text1"/>
          <w:lang w:val="en-US"/>
        </w:rPr>
        <w:t xml:space="preserve">inactivity timer. From this point of view, the NR R15 operation should not be </w:t>
      </w:r>
      <w:r w:rsidR="00653471">
        <w:rPr>
          <w:rFonts w:cs="Arial"/>
          <w:color w:val="000000" w:themeColor="text1"/>
          <w:lang w:val="en-US"/>
        </w:rPr>
        <w:t xml:space="preserve">redesigned, instead, NR-U should build on top of R15 baseline. </w:t>
      </w:r>
    </w:p>
    <w:p w14:paraId="5A850DEA" w14:textId="23EC0B64" w:rsidR="00F321F1" w:rsidRPr="00670720" w:rsidRDefault="00F321F1" w:rsidP="00627991">
      <w:pPr>
        <w:jc w:val="both"/>
        <w:rPr>
          <w:rFonts w:cs="Arial"/>
          <w:i/>
          <w:color w:val="000000" w:themeColor="text1"/>
          <w:lang w:val="en-US"/>
        </w:rPr>
      </w:pPr>
      <w:r w:rsidRPr="00670720">
        <w:rPr>
          <w:rFonts w:cs="Arial"/>
          <w:b/>
          <w:i/>
          <w:color w:val="000000" w:themeColor="text1"/>
          <w:lang w:val="en-US"/>
        </w:rPr>
        <w:t>Proposal</w:t>
      </w:r>
      <w:r w:rsidR="00FB4888">
        <w:rPr>
          <w:rFonts w:cs="Arial"/>
          <w:b/>
          <w:i/>
          <w:color w:val="000000" w:themeColor="text1"/>
          <w:lang w:val="en-US"/>
        </w:rPr>
        <w:t xml:space="preserve"> </w:t>
      </w:r>
      <w:r w:rsidR="00F80F28">
        <w:rPr>
          <w:rFonts w:cs="Arial"/>
          <w:b/>
          <w:i/>
          <w:color w:val="000000" w:themeColor="text1"/>
          <w:lang w:val="en-US"/>
        </w:rPr>
        <w:t>1</w:t>
      </w:r>
      <w:r w:rsidRPr="00670720">
        <w:rPr>
          <w:rFonts w:cs="Arial"/>
          <w:b/>
          <w:i/>
          <w:color w:val="000000" w:themeColor="text1"/>
          <w:lang w:val="en-US"/>
        </w:rPr>
        <w:t>:</w:t>
      </w:r>
      <w:r w:rsidRPr="00670720">
        <w:rPr>
          <w:rFonts w:cs="Arial"/>
          <w:i/>
          <w:color w:val="000000" w:themeColor="text1"/>
          <w:lang w:val="en-US"/>
        </w:rPr>
        <w:t xml:space="preserve"> BWP frame-work designed in R15 is supported</w:t>
      </w:r>
      <w:r w:rsidR="00653471" w:rsidRPr="00670720">
        <w:rPr>
          <w:rFonts w:cs="Arial"/>
          <w:i/>
          <w:color w:val="000000" w:themeColor="text1"/>
          <w:lang w:val="en-US"/>
        </w:rPr>
        <w:t xml:space="preserve"> as baseline, NR-U </w:t>
      </w:r>
      <w:r w:rsidR="00181756">
        <w:rPr>
          <w:rFonts w:cs="Arial"/>
          <w:i/>
          <w:color w:val="000000" w:themeColor="text1"/>
          <w:lang w:val="en-US"/>
        </w:rPr>
        <w:t xml:space="preserve">transmission-BW aspects </w:t>
      </w:r>
      <w:r w:rsidR="00653471" w:rsidRPr="00670720">
        <w:rPr>
          <w:rFonts w:cs="Arial"/>
          <w:i/>
          <w:color w:val="000000" w:themeColor="text1"/>
          <w:lang w:val="en-US"/>
        </w:rPr>
        <w:t xml:space="preserve">related to LBT are considered on top of the baseline. </w:t>
      </w:r>
      <w:r w:rsidRPr="00670720">
        <w:rPr>
          <w:rFonts w:cs="Arial"/>
          <w:i/>
          <w:color w:val="000000" w:themeColor="text1"/>
          <w:lang w:val="en-US"/>
        </w:rPr>
        <w:t xml:space="preserve"> </w:t>
      </w:r>
    </w:p>
    <w:p w14:paraId="67FBD8E0" w14:textId="175E0571" w:rsidR="00F321F1" w:rsidRDefault="00F321F1" w:rsidP="00627991">
      <w:pPr>
        <w:jc w:val="both"/>
        <w:rPr>
          <w:rFonts w:cs="Arial"/>
          <w:color w:val="000000" w:themeColor="text1"/>
          <w:lang w:val="en-US"/>
        </w:rPr>
      </w:pPr>
      <w:r>
        <w:rPr>
          <w:rFonts w:cs="Arial"/>
          <w:color w:val="000000" w:themeColor="text1"/>
          <w:lang w:val="en-US"/>
        </w:rPr>
        <w:t>Options 1a and 1b, are based on multiple active BWPs. However, multiple active BWPs</w:t>
      </w:r>
      <w:r w:rsidR="00653471">
        <w:rPr>
          <w:rFonts w:cs="Arial"/>
          <w:color w:val="000000" w:themeColor="text1"/>
          <w:lang w:val="en-US"/>
        </w:rPr>
        <w:t xml:space="preserve"> are not supported in R15. Support of multi active BWPs would require redesign of NR R15 baseline, in terms of switching DCI, inactivity timer, HARQ CBs, etc. In addition, </w:t>
      </w:r>
      <w:r w:rsidR="0026570B">
        <w:rPr>
          <w:rFonts w:cs="Arial"/>
          <w:color w:val="000000" w:themeColor="text1"/>
          <w:lang w:val="en-US"/>
        </w:rPr>
        <w:t xml:space="preserve">BWPs may have different parameters in terms of numerology, K0-2 times, etc. Therefore, </w:t>
      </w:r>
      <w:r w:rsidR="00735EF5">
        <w:rPr>
          <w:rFonts w:cs="Arial"/>
          <w:color w:val="000000" w:themeColor="text1"/>
          <w:lang w:val="en-US"/>
        </w:rPr>
        <w:t xml:space="preserve">option </w:t>
      </w:r>
      <w:r w:rsidR="0026570B">
        <w:rPr>
          <w:rFonts w:cs="Arial"/>
          <w:color w:val="000000" w:themeColor="text1"/>
          <w:lang w:val="en-US"/>
        </w:rPr>
        <w:t xml:space="preserve">1a would potentially need one baseband per active BWP and </w:t>
      </w:r>
      <w:r w:rsidR="00735EF5">
        <w:rPr>
          <w:rFonts w:cs="Arial"/>
          <w:color w:val="000000" w:themeColor="text1"/>
          <w:lang w:val="en-US"/>
        </w:rPr>
        <w:t xml:space="preserve">option </w:t>
      </w:r>
      <w:r w:rsidR="0026570B">
        <w:rPr>
          <w:rFonts w:cs="Arial"/>
          <w:color w:val="000000" w:themeColor="text1"/>
          <w:lang w:val="en-US"/>
        </w:rPr>
        <w:t>1b would require the same or</w:t>
      </w:r>
      <w:r w:rsidR="00917924">
        <w:rPr>
          <w:rFonts w:cs="Arial"/>
          <w:color w:val="000000" w:themeColor="text1"/>
          <w:lang w:val="en-US"/>
        </w:rPr>
        <w:t>, alternatively,</w:t>
      </w:r>
      <w:r w:rsidR="0026570B">
        <w:rPr>
          <w:rFonts w:cs="Arial"/>
          <w:color w:val="000000" w:themeColor="text1"/>
          <w:lang w:val="en-US"/>
        </w:rPr>
        <w:t xml:space="preserve"> switching delay to switch BB parameters based on LBT.</w:t>
      </w:r>
      <w:r w:rsidR="001312A3">
        <w:rPr>
          <w:rFonts w:cs="Arial"/>
          <w:color w:val="000000" w:themeColor="text1"/>
          <w:lang w:val="en-US"/>
        </w:rPr>
        <w:t xml:space="preserve"> Finally, options 1a and 1b require support of many BWPs, </w:t>
      </w:r>
      <w:r w:rsidR="00813308">
        <w:rPr>
          <w:rFonts w:cs="Arial"/>
          <w:color w:val="000000" w:themeColor="text1"/>
          <w:lang w:val="en-US"/>
        </w:rPr>
        <w:t xml:space="preserve">while </w:t>
      </w:r>
      <w:r w:rsidR="001312A3">
        <w:rPr>
          <w:rFonts w:cs="Arial"/>
          <w:color w:val="000000" w:themeColor="text1"/>
          <w:lang w:val="en-US"/>
        </w:rPr>
        <w:t>R15 specification supports only up to 4</w:t>
      </w:r>
      <w:r w:rsidR="00813308">
        <w:rPr>
          <w:rFonts w:cs="Arial"/>
          <w:color w:val="000000" w:themeColor="text1"/>
          <w:lang w:val="en-US"/>
        </w:rPr>
        <w:t xml:space="preserve"> BWPs</w:t>
      </w:r>
      <w:r w:rsidR="001312A3">
        <w:rPr>
          <w:rFonts w:cs="Arial"/>
          <w:color w:val="000000" w:themeColor="text1"/>
          <w:lang w:val="en-US"/>
        </w:rPr>
        <w:t xml:space="preserve">. Increase would have broad impact on NR specification. </w:t>
      </w:r>
    </w:p>
    <w:p w14:paraId="32F3244B" w14:textId="77642501" w:rsidR="00653471" w:rsidRDefault="00653471" w:rsidP="00627991">
      <w:pPr>
        <w:jc w:val="both"/>
        <w:rPr>
          <w:rFonts w:cs="Arial"/>
          <w:color w:val="000000" w:themeColor="text1"/>
          <w:lang w:val="en-US"/>
        </w:rPr>
      </w:pPr>
      <w:r>
        <w:rPr>
          <w:rFonts w:cs="Arial"/>
          <w:color w:val="000000" w:themeColor="text1"/>
          <w:lang w:val="en-US"/>
        </w:rPr>
        <w:t>On the other hand, Option</w:t>
      </w:r>
      <w:r w:rsidR="00753287">
        <w:rPr>
          <w:rFonts w:cs="Arial"/>
          <w:color w:val="000000" w:themeColor="text1"/>
          <w:lang w:val="en-US"/>
        </w:rPr>
        <w:t>s</w:t>
      </w:r>
      <w:r>
        <w:rPr>
          <w:rFonts w:cs="Arial"/>
          <w:color w:val="000000" w:themeColor="text1"/>
          <w:lang w:val="en-US"/>
        </w:rPr>
        <w:t xml:space="preserve"> 2</w:t>
      </w:r>
      <w:r w:rsidR="006379FB">
        <w:rPr>
          <w:rFonts w:cs="Arial"/>
          <w:color w:val="000000" w:themeColor="text1"/>
          <w:lang w:val="en-US"/>
        </w:rPr>
        <w:t xml:space="preserve"> and 3</w:t>
      </w:r>
      <w:r>
        <w:rPr>
          <w:rFonts w:cs="Arial"/>
          <w:color w:val="000000" w:themeColor="text1"/>
          <w:lang w:val="en-US"/>
        </w:rPr>
        <w:t xml:space="preserve"> </w:t>
      </w:r>
      <w:r w:rsidR="00753287">
        <w:rPr>
          <w:rFonts w:cs="Arial"/>
          <w:color w:val="000000" w:themeColor="text1"/>
          <w:lang w:val="en-US"/>
        </w:rPr>
        <w:t>are</w:t>
      </w:r>
      <w:r>
        <w:rPr>
          <w:rFonts w:cs="Arial"/>
          <w:color w:val="000000" w:themeColor="text1"/>
          <w:lang w:val="en-US"/>
        </w:rPr>
        <w:t xml:space="preserve"> based on single active BWP as designed in R15.</w:t>
      </w:r>
      <w:r w:rsidR="006379FB">
        <w:rPr>
          <w:rFonts w:cs="Arial"/>
          <w:color w:val="000000" w:themeColor="text1"/>
          <w:lang w:val="en-US"/>
        </w:rPr>
        <w:t xml:space="preserve"> Option </w:t>
      </w:r>
      <w:r w:rsidR="00181756">
        <w:rPr>
          <w:rFonts w:cs="Arial"/>
          <w:color w:val="000000" w:themeColor="text1"/>
          <w:lang w:val="en-US"/>
        </w:rPr>
        <w:t>3 unlike Option 2</w:t>
      </w:r>
      <w:r w:rsidR="006379FB">
        <w:rPr>
          <w:rFonts w:cs="Arial"/>
          <w:color w:val="000000" w:themeColor="text1"/>
          <w:lang w:val="en-US"/>
        </w:rPr>
        <w:t xml:space="preserve"> introduce</w:t>
      </w:r>
      <w:r w:rsidR="00181756">
        <w:rPr>
          <w:rFonts w:cs="Arial"/>
          <w:color w:val="000000" w:themeColor="text1"/>
          <w:lang w:val="en-US"/>
        </w:rPr>
        <w:t>s</w:t>
      </w:r>
      <w:r w:rsidR="006379FB">
        <w:rPr>
          <w:rFonts w:cs="Arial"/>
          <w:color w:val="000000" w:themeColor="text1"/>
          <w:lang w:val="en-US"/>
        </w:rPr>
        <w:t xml:space="preserve"> NR</w:t>
      </w:r>
      <w:r w:rsidR="00CA1A22">
        <w:rPr>
          <w:rFonts w:cs="Arial"/>
          <w:color w:val="000000" w:themeColor="text1"/>
          <w:lang w:val="en-US"/>
        </w:rPr>
        <w:t>-</w:t>
      </w:r>
      <w:r w:rsidR="006379FB">
        <w:rPr>
          <w:rFonts w:cs="Arial"/>
          <w:color w:val="000000" w:themeColor="text1"/>
          <w:lang w:val="en-US"/>
        </w:rPr>
        <w:t>U</w:t>
      </w:r>
      <w:r w:rsidR="00CA1A22">
        <w:rPr>
          <w:rFonts w:cs="Arial"/>
          <w:color w:val="000000" w:themeColor="text1"/>
          <w:lang w:val="en-US"/>
        </w:rPr>
        <w:t xml:space="preserve"> </w:t>
      </w:r>
      <w:r w:rsidR="00181756">
        <w:rPr>
          <w:rFonts w:cs="Arial"/>
          <w:color w:val="000000" w:themeColor="text1"/>
          <w:lang w:val="en-US"/>
        </w:rPr>
        <w:t>-related</w:t>
      </w:r>
      <w:r w:rsidR="006379FB">
        <w:rPr>
          <w:rFonts w:cs="Arial"/>
          <w:color w:val="000000" w:themeColor="text1"/>
          <w:lang w:val="en-US"/>
        </w:rPr>
        <w:t xml:space="preserve"> enhancement on top of R15 BWP</w:t>
      </w:r>
      <w:r w:rsidR="00181756">
        <w:rPr>
          <w:rFonts w:cs="Arial"/>
          <w:color w:val="000000" w:themeColor="text1"/>
          <w:lang w:val="en-US"/>
        </w:rPr>
        <w:t xml:space="preserve"> framework</w:t>
      </w:r>
      <w:r w:rsidR="006379FB">
        <w:rPr>
          <w:rFonts w:cs="Arial"/>
          <w:color w:val="000000" w:themeColor="text1"/>
          <w:lang w:val="en-US"/>
        </w:rPr>
        <w:t>. Option 3 can be seen as virtual/temporal BWP operating within the R15 BWP. Virtual/temporal BWPs</w:t>
      </w:r>
      <w:r w:rsidR="00181756">
        <w:rPr>
          <w:rFonts w:cs="Arial"/>
          <w:color w:val="000000" w:themeColor="text1"/>
          <w:lang w:val="en-US"/>
        </w:rPr>
        <w:t xml:space="preserve"> </w:t>
      </w:r>
      <w:r w:rsidR="00A7625F">
        <w:rPr>
          <w:rFonts w:cs="Arial"/>
          <w:color w:val="000000" w:themeColor="text1"/>
          <w:lang w:val="en-US"/>
        </w:rPr>
        <w:t xml:space="preserve">would </w:t>
      </w:r>
      <w:r w:rsidR="00181756">
        <w:rPr>
          <w:rFonts w:cs="Arial"/>
          <w:color w:val="000000" w:themeColor="text1"/>
          <w:lang w:val="en-US"/>
        </w:rPr>
        <w:t xml:space="preserve">inherit </w:t>
      </w:r>
      <w:r w:rsidR="00A417A7">
        <w:rPr>
          <w:rFonts w:cs="Arial"/>
          <w:color w:val="000000" w:themeColor="text1"/>
          <w:lang w:val="en-US"/>
        </w:rPr>
        <w:t xml:space="preserve">almost all </w:t>
      </w:r>
      <w:r w:rsidR="00181756">
        <w:rPr>
          <w:rFonts w:cs="Arial"/>
          <w:color w:val="000000" w:themeColor="text1"/>
          <w:lang w:val="en-US"/>
        </w:rPr>
        <w:t>parameters from R15 BWP</w:t>
      </w:r>
      <w:r w:rsidR="006379FB">
        <w:rPr>
          <w:rFonts w:cs="Arial"/>
          <w:color w:val="000000" w:themeColor="text1"/>
          <w:lang w:val="en-US"/>
        </w:rPr>
        <w:t xml:space="preserve"> </w:t>
      </w:r>
      <w:r w:rsidR="00A417A7">
        <w:rPr>
          <w:rFonts w:cs="Arial"/>
          <w:color w:val="000000" w:themeColor="text1"/>
          <w:lang w:val="en-US"/>
        </w:rPr>
        <w:t>except of transmission BWP and would have thus</w:t>
      </w:r>
      <w:r w:rsidR="006379FB">
        <w:rPr>
          <w:rFonts w:cs="Arial"/>
          <w:color w:val="000000" w:themeColor="text1"/>
          <w:lang w:val="en-US"/>
        </w:rPr>
        <w:t xml:space="preserve"> zero switching time</w:t>
      </w:r>
      <w:r w:rsidR="00A417A7">
        <w:rPr>
          <w:rFonts w:cs="Arial"/>
          <w:color w:val="000000" w:themeColor="text1"/>
          <w:lang w:val="en-US"/>
        </w:rPr>
        <w:t>. So</w:t>
      </w:r>
      <w:r w:rsidR="00CA1A22">
        <w:rPr>
          <w:rFonts w:cs="Arial"/>
          <w:color w:val="000000" w:themeColor="text1"/>
          <w:lang w:val="en-US"/>
        </w:rPr>
        <w:t>,</w:t>
      </w:r>
      <w:r w:rsidR="00A417A7">
        <w:rPr>
          <w:rFonts w:cs="Arial"/>
          <w:color w:val="000000" w:themeColor="text1"/>
          <w:lang w:val="en-US"/>
        </w:rPr>
        <w:t xml:space="preserve"> Option 1a in fact could be applied on top of Option 3.</w:t>
      </w:r>
    </w:p>
    <w:p w14:paraId="431727EA" w14:textId="54647E48" w:rsidR="00F80F28" w:rsidRDefault="006379FB" w:rsidP="00181756">
      <w:pPr>
        <w:jc w:val="both"/>
        <w:rPr>
          <w:rFonts w:cs="Arial"/>
          <w:color w:val="000000" w:themeColor="text1"/>
          <w:lang w:val="en-US"/>
        </w:rPr>
      </w:pPr>
      <w:r>
        <w:rPr>
          <w:rFonts w:cs="Arial"/>
          <w:color w:val="000000" w:themeColor="text1"/>
          <w:lang w:val="en-US"/>
        </w:rPr>
        <w:t xml:space="preserve">While </w:t>
      </w:r>
      <w:r w:rsidR="00AE66BC">
        <w:rPr>
          <w:rFonts w:cs="Arial"/>
          <w:color w:val="000000" w:themeColor="text1"/>
          <w:lang w:val="en-US"/>
        </w:rPr>
        <w:t>the</w:t>
      </w:r>
      <w:r>
        <w:rPr>
          <w:rFonts w:cs="Arial"/>
          <w:color w:val="000000" w:themeColor="text1"/>
          <w:lang w:val="en-US"/>
        </w:rPr>
        <w:t xml:space="preserve"> specification effort is non-zero for Option 3 over Option 2, the benefits are well understood: (i) </w:t>
      </w:r>
      <w:r w:rsidRPr="00670720">
        <w:rPr>
          <w:rFonts w:cs="Arial"/>
          <w:color w:val="000000" w:themeColor="text1"/>
          <w:lang w:val="en-US"/>
        </w:rPr>
        <w:t>competitiveness of NR</w:t>
      </w:r>
      <w:r w:rsidR="00AB531B">
        <w:rPr>
          <w:rFonts w:cs="Arial"/>
          <w:color w:val="000000" w:themeColor="text1"/>
          <w:lang w:val="en-US"/>
        </w:rPr>
        <w:t>-</w:t>
      </w:r>
      <w:r w:rsidRPr="00670720">
        <w:rPr>
          <w:rFonts w:cs="Arial"/>
          <w:color w:val="000000" w:themeColor="text1"/>
          <w:lang w:val="en-US"/>
        </w:rPr>
        <w:t>U with other RATs</w:t>
      </w:r>
      <w:r>
        <w:rPr>
          <w:rFonts w:cs="Arial"/>
          <w:color w:val="000000" w:themeColor="text1"/>
          <w:lang w:val="en-US"/>
        </w:rPr>
        <w:t xml:space="preserve"> (</w:t>
      </w:r>
      <w:r w:rsidR="00AC117A">
        <w:rPr>
          <w:rFonts w:cs="Arial"/>
          <w:color w:val="000000" w:themeColor="text1"/>
          <w:lang w:val="en-US"/>
        </w:rPr>
        <w:t>ii</w:t>
      </w:r>
      <w:r>
        <w:rPr>
          <w:rFonts w:cs="Arial"/>
          <w:color w:val="000000" w:themeColor="text1"/>
          <w:lang w:val="en-US"/>
        </w:rPr>
        <w:t xml:space="preserve">) better spectral efficiency </w:t>
      </w:r>
      <w:r w:rsidR="00181756">
        <w:rPr>
          <w:rFonts w:cs="Arial"/>
          <w:color w:val="000000" w:themeColor="text1"/>
          <w:lang w:val="en-US"/>
        </w:rPr>
        <w:t>within NR</w:t>
      </w:r>
      <w:r w:rsidR="00AB531B">
        <w:rPr>
          <w:rFonts w:cs="Arial"/>
          <w:color w:val="000000" w:themeColor="text1"/>
          <w:lang w:val="en-US"/>
        </w:rPr>
        <w:t>-</w:t>
      </w:r>
      <w:r w:rsidR="00181756">
        <w:rPr>
          <w:rFonts w:cs="Arial"/>
          <w:color w:val="000000" w:themeColor="text1"/>
          <w:lang w:val="en-US"/>
        </w:rPr>
        <w:t xml:space="preserve">U network. When comparing </w:t>
      </w:r>
      <w:r>
        <w:rPr>
          <w:rFonts w:cs="Arial"/>
          <w:color w:val="000000" w:themeColor="text1"/>
          <w:lang w:val="en-US"/>
        </w:rPr>
        <w:t>Option 3 over CA of 20MHz serving cells</w:t>
      </w:r>
      <w:r w:rsidR="00181756">
        <w:rPr>
          <w:rFonts w:cs="Arial"/>
          <w:color w:val="000000" w:themeColor="text1"/>
          <w:lang w:val="en-US"/>
        </w:rPr>
        <w:t xml:space="preserve">, Option 3 may offer (i) operation with </w:t>
      </w:r>
      <w:r w:rsidRPr="00670720">
        <w:rPr>
          <w:rFonts w:cs="Arial"/>
          <w:color w:val="000000" w:themeColor="text1"/>
          <w:lang w:val="en-US"/>
        </w:rPr>
        <w:t>less HARQ processes</w:t>
      </w:r>
      <w:r w:rsidR="00AC117A">
        <w:rPr>
          <w:rFonts w:cs="Arial"/>
          <w:color w:val="000000" w:themeColor="text1"/>
          <w:lang w:val="en-US"/>
        </w:rPr>
        <w:t>,</w:t>
      </w:r>
      <w:r w:rsidRPr="00670720">
        <w:rPr>
          <w:rFonts w:cs="Arial"/>
          <w:color w:val="000000" w:themeColor="text1"/>
          <w:lang w:val="en-US"/>
        </w:rPr>
        <w:t xml:space="preserve"> </w:t>
      </w:r>
      <w:r w:rsidR="00AC117A">
        <w:rPr>
          <w:rFonts w:cs="Arial"/>
          <w:color w:val="000000" w:themeColor="text1"/>
          <w:lang w:val="en-US"/>
        </w:rPr>
        <w:t>because</w:t>
      </w:r>
      <w:r w:rsidRPr="00670720">
        <w:rPr>
          <w:rFonts w:cs="Arial"/>
          <w:color w:val="000000" w:themeColor="text1"/>
          <w:lang w:val="en-US"/>
        </w:rPr>
        <w:t xml:space="preserve"> single TB can span multiple sub-bands</w:t>
      </w:r>
      <w:r w:rsidR="00AE66BC">
        <w:rPr>
          <w:rFonts w:cs="Arial"/>
          <w:color w:val="000000" w:themeColor="text1"/>
          <w:lang w:val="en-US"/>
        </w:rPr>
        <w:t xml:space="preserve"> </w:t>
      </w:r>
      <w:r w:rsidR="00181756">
        <w:rPr>
          <w:rFonts w:cs="Arial"/>
          <w:color w:val="000000" w:themeColor="text1"/>
          <w:lang w:val="en-US"/>
        </w:rPr>
        <w:t>(ii) r</w:t>
      </w:r>
      <w:r>
        <w:rPr>
          <w:rFonts w:cs="Arial"/>
          <w:color w:val="000000" w:themeColor="text1"/>
          <w:lang w:val="en-US"/>
        </w:rPr>
        <w:t>etransmission</w:t>
      </w:r>
      <w:r w:rsidR="00181756">
        <w:rPr>
          <w:rFonts w:cs="Arial"/>
          <w:color w:val="000000" w:themeColor="text1"/>
          <w:lang w:val="en-US"/>
        </w:rPr>
        <w:t xml:space="preserve"> of HARQ processes</w:t>
      </w:r>
      <w:r>
        <w:rPr>
          <w:rFonts w:cs="Arial"/>
          <w:color w:val="000000" w:themeColor="text1"/>
          <w:lang w:val="en-US"/>
        </w:rPr>
        <w:t xml:space="preserve"> </w:t>
      </w:r>
      <w:r w:rsidR="00181756">
        <w:rPr>
          <w:rFonts w:cs="Arial"/>
          <w:color w:val="000000" w:themeColor="text1"/>
          <w:lang w:val="en-US"/>
        </w:rPr>
        <w:t>on different 20M</w:t>
      </w:r>
      <w:r w:rsidR="00841BD4">
        <w:rPr>
          <w:rFonts w:cs="Arial"/>
          <w:color w:val="000000" w:themeColor="text1"/>
          <w:lang w:val="en-US"/>
        </w:rPr>
        <w:t>H</w:t>
      </w:r>
      <w:r w:rsidR="00181756">
        <w:rPr>
          <w:rFonts w:cs="Arial"/>
          <w:color w:val="000000" w:themeColor="text1"/>
          <w:lang w:val="en-US"/>
        </w:rPr>
        <w:t xml:space="preserve">z sub-band(s) without additional specification impact. </w:t>
      </w:r>
    </w:p>
    <w:p w14:paraId="56F41F62" w14:textId="5E2FF08D" w:rsidR="00181756" w:rsidRDefault="00181756" w:rsidP="00181756">
      <w:pPr>
        <w:jc w:val="both"/>
        <w:rPr>
          <w:rFonts w:cs="Arial"/>
          <w:color w:val="000000" w:themeColor="text1"/>
          <w:lang w:val="en-US"/>
        </w:rPr>
      </w:pPr>
      <w:r>
        <w:rPr>
          <w:rFonts w:cs="Arial"/>
          <w:color w:val="000000" w:themeColor="text1"/>
          <w:lang w:val="en-US"/>
        </w:rPr>
        <w:t>Based on our discussion</w:t>
      </w:r>
      <w:r w:rsidR="00F80F28">
        <w:rPr>
          <w:rFonts w:cs="Arial"/>
          <w:color w:val="000000" w:themeColor="text1"/>
          <w:lang w:val="en-US"/>
        </w:rPr>
        <w:t xml:space="preserve"> above (including the RAN4 input)</w:t>
      </w:r>
      <w:r w:rsidR="00CA1A22">
        <w:rPr>
          <w:rFonts w:cs="Arial"/>
          <w:color w:val="000000" w:themeColor="text1"/>
          <w:lang w:val="en-US"/>
        </w:rPr>
        <w:t xml:space="preserve"> we </w:t>
      </w:r>
      <w:r w:rsidR="00492718">
        <w:rPr>
          <w:rFonts w:cs="Arial"/>
          <w:color w:val="000000" w:themeColor="text1"/>
          <w:lang w:val="en-US"/>
        </w:rPr>
        <w:t>have</w:t>
      </w:r>
      <w:r w:rsidR="00CA1A22">
        <w:rPr>
          <w:rFonts w:cs="Arial"/>
          <w:color w:val="000000" w:themeColor="text1"/>
          <w:lang w:val="en-US"/>
        </w:rPr>
        <w:t xml:space="preserve"> the following proposal:</w:t>
      </w:r>
    </w:p>
    <w:p w14:paraId="5112B66A" w14:textId="7471087F" w:rsidR="00181756" w:rsidRPr="00F80F28" w:rsidRDefault="00181756" w:rsidP="00F80F28">
      <w:pPr>
        <w:spacing w:after="0"/>
        <w:jc w:val="both"/>
        <w:rPr>
          <w:i/>
          <w:color w:val="000000" w:themeColor="text1"/>
          <w:lang w:val="en-US"/>
        </w:rPr>
      </w:pPr>
      <w:r w:rsidRPr="00F80F28">
        <w:rPr>
          <w:b/>
          <w:i/>
          <w:color w:val="000000" w:themeColor="text1"/>
          <w:lang w:val="en-US"/>
        </w:rPr>
        <w:t>Proposal</w:t>
      </w:r>
      <w:r w:rsidR="00F80F28" w:rsidRPr="00F80F28">
        <w:rPr>
          <w:b/>
          <w:i/>
          <w:color w:val="000000" w:themeColor="text1"/>
          <w:lang w:val="en-US"/>
        </w:rPr>
        <w:t xml:space="preserve"> 2</w:t>
      </w:r>
      <w:r w:rsidRPr="00F80F28">
        <w:rPr>
          <w:b/>
          <w:i/>
          <w:color w:val="000000" w:themeColor="text1"/>
          <w:lang w:val="en-US"/>
        </w:rPr>
        <w:t>:</w:t>
      </w:r>
      <w:r w:rsidRPr="00F80F28">
        <w:rPr>
          <w:i/>
          <w:color w:val="000000" w:themeColor="text1"/>
          <w:lang w:val="en-US"/>
        </w:rPr>
        <w:t xml:space="preserve"> </w:t>
      </w:r>
      <w:r w:rsidR="007476A2">
        <w:rPr>
          <w:i/>
          <w:color w:val="000000" w:themeColor="text1"/>
          <w:lang w:val="en-US"/>
        </w:rPr>
        <w:t xml:space="preserve">Down-select </w:t>
      </w:r>
      <w:r w:rsidRPr="00F80F28">
        <w:rPr>
          <w:i/>
          <w:color w:val="000000" w:themeColor="text1"/>
          <w:lang w:val="en-US"/>
        </w:rPr>
        <w:t xml:space="preserve">Option 3 </w:t>
      </w:r>
      <w:r w:rsidR="00AC117A" w:rsidRPr="00F80F28">
        <w:rPr>
          <w:i/>
          <w:color w:val="000000" w:themeColor="text1"/>
          <w:lang w:val="en-US"/>
        </w:rPr>
        <w:t>in both DL and UL</w:t>
      </w:r>
      <w:r w:rsidR="00F80F28" w:rsidRPr="00F80F28">
        <w:rPr>
          <w:i/>
          <w:color w:val="000000" w:themeColor="text1"/>
          <w:lang w:val="en-US"/>
        </w:rPr>
        <w:t xml:space="preserve"> with the following update</w:t>
      </w:r>
      <w:r w:rsidR="00F80F28">
        <w:rPr>
          <w:i/>
          <w:color w:val="000000" w:themeColor="text1"/>
          <w:lang w:val="en-US"/>
        </w:rPr>
        <w:t>:</w:t>
      </w:r>
    </w:p>
    <w:p w14:paraId="52FC1B53" w14:textId="6EAB157B" w:rsidR="00F80F28" w:rsidRPr="00F80F28" w:rsidRDefault="00F80F28" w:rsidP="00AE66BC">
      <w:pPr>
        <w:spacing w:after="120"/>
        <w:ind w:left="568"/>
        <w:rPr>
          <w:rFonts w:eastAsia="Times New Roman"/>
          <w:i/>
          <w:lang w:val="en-US"/>
        </w:rPr>
      </w:pPr>
      <w:r w:rsidRPr="00F80F28">
        <w:rPr>
          <w:rFonts w:eastAsia="ヒラギノ角ゴ Pro W3"/>
          <w:i/>
          <w:kern w:val="24"/>
        </w:rPr>
        <w:t xml:space="preserve">Option 3: Multiple BWPs can be configured, single BWP activated, gNB transmits PDSCH on </w:t>
      </w:r>
      <w:r w:rsidRPr="00F80F28">
        <w:rPr>
          <w:rFonts w:eastAsia="ヒラギノ角ゴ Pro W3"/>
          <w:i/>
          <w:color w:val="FF0000"/>
          <w:kern w:val="24"/>
        </w:rPr>
        <w:t>contiguous</w:t>
      </w:r>
      <w:r w:rsidRPr="00F80F28">
        <w:rPr>
          <w:rFonts w:eastAsia="ヒラギノ角ゴ Pro W3"/>
          <w:i/>
          <w:kern w:val="24"/>
        </w:rPr>
        <w:t xml:space="preserve"> parts or whole of single BWP where CCA is successful at gNB</w:t>
      </w:r>
    </w:p>
    <w:p w14:paraId="0CDA33E5" w14:textId="77777777" w:rsidR="00CB78DE" w:rsidRDefault="00CB78DE" w:rsidP="00181756">
      <w:pPr>
        <w:jc w:val="both"/>
        <w:rPr>
          <w:rFonts w:cs="Arial"/>
          <w:color w:val="000000" w:themeColor="text1"/>
          <w:lang w:val="en-US"/>
        </w:rPr>
      </w:pPr>
    </w:p>
    <w:p w14:paraId="262563B2" w14:textId="14EAC026" w:rsidR="006379FB" w:rsidRDefault="00492718" w:rsidP="00181756">
      <w:pPr>
        <w:jc w:val="both"/>
        <w:rPr>
          <w:rFonts w:cs="Arial"/>
          <w:color w:val="000000" w:themeColor="text1"/>
          <w:lang w:val="en-US"/>
        </w:rPr>
      </w:pPr>
      <w:r>
        <w:rPr>
          <w:rFonts w:cs="Arial"/>
          <w:color w:val="000000" w:themeColor="text1"/>
          <w:lang w:val="en-US"/>
        </w:rPr>
        <w:t>I</w:t>
      </w:r>
      <w:r w:rsidR="00AC117A">
        <w:rPr>
          <w:rFonts w:cs="Arial"/>
          <w:color w:val="000000" w:themeColor="text1"/>
          <w:lang w:val="en-US"/>
        </w:rPr>
        <w:t>n the following sections we will summarize the</w:t>
      </w:r>
      <w:r w:rsidR="007D737E">
        <w:rPr>
          <w:rFonts w:cs="Arial"/>
          <w:color w:val="000000" w:themeColor="text1"/>
          <w:lang w:val="en-US"/>
        </w:rPr>
        <w:t xml:space="preserve"> proposals needed</w:t>
      </w:r>
      <w:r w:rsidR="00AC117A">
        <w:rPr>
          <w:rFonts w:cs="Arial"/>
          <w:color w:val="000000" w:themeColor="text1"/>
          <w:lang w:val="en-US"/>
        </w:rPr>
        <w:t xml:space="preserve"> </w:t>
      </w:r>
      <w:r w:rsidR="007D737E">
        <w:rPr>
          <w:rFonts w:cs="Arial"/>
          <w:color w:val="000000" w:themeColor="text1"/>
          <w:lang w:val="en-US"/>
        </w:rPr>
        <w:t xml:space="preserve">to specify above updated </w:t>
      </w:r>
      <w:r w:rsidR="00AC117A">
        <w:rPr>
          <w:rFonts w:cs="Arial"/>
          <w:color w:val="000000" w:themeColor="text1"/>
          <w:lang w:val="en-US"/>
        </w:rPr>
        <w:t>Option 3</w:t>
      </w:r>
      <w:r w:rsidR="007D737E">
        <w:rPr>
          <w:rFonts w:cs="Arial"/>
          <w:color w:val="000000" w:themeColor="text1"/>
          <w:lang w:val="en-US"/>
        </w:rPr>
        <w:t>.</w:t>
      </w:r>
    </w:p>
    <w:p w14:paraId="1E2745E7" w14:textId="64FEDC43" w:rsidR="00627991" w:rsidRPr="0048748C" w:rsidRDefault="00627991" w:rsidP="00BF0F3A">
      <w:pPr>
        <w:pStyle w:val="Heading2"/>
      </w:pPr>
      <w:r w:rsidRPr="0048748C">
        <w:t xml:space="preserve">PDCCH </w:t>
      </w:r>
      <w:r w:rsidR="00DA317A">
        <w:t>structures and reception</w:t>
      </w:r>
    </w:p>
    <w:p w14:paraId="6C5B3434" w14:textId="018C5CC1" w:rsidR="00DA317A" w:rsidRPr="00241568" w:rsidRDefault="00DA317A" w:rsidP="00DA317A">
      <w:pPr>
        <w:widowControl w:val="0"/>
        <w:jc w:val="both"/>
      </w:pPr>
      <w:r w:rsidRPr="00BE09F2">
        <w:t>It was decided in RAN1#92bis that “</w:t>
      </w:r>
      <w:r w:rsidRPr="00BE09F2">
        <w:rPr>
          <w:i/>
        </w:rPr>
        <w:t>At least for band where absence of Wi-Fi cannot be guaranteed (e.g. by regulation), LBT can be performed in units of 20 MHz.</w:t>
      </w:r>
      <w:r w:rsidRPr="00241568">
        <w:t xml:space="preserve">”. This indicates that in the case of wideband operation, frequency domain resources may be allocated with the granularity of 20 MHz. </w:t>
      </w:r>
    </w:p>
    <w:p w14:paraId="01EE964C" w14:textId="77777777" w:rsidR="00DA317A" w:rsidRPr="005B4275" w:rsidRDefault="00DA317A" w:rsidP="00AE66BC">
      <w:pPr>
        <w:spacing w:after="0"/>
        <w:jc w:val="both"/>
        <w:rPr>
          <w:color w:val="000000"/>
        </w:rPr>
      </w:pPr>
      <w:r>
        <w:rPr>
          <w:color w:val="000000"/>
        </w:rPr>
        <w:t xml:space="preserve">As the result of sub-band LBT, </w:t>
      </w:r>
      <w:r w:rsidRPr="005B4275">
        <w:rPr>
          <w:color w:val="000000"/>
        </w:rPr>
        <w:t>the gNB</w:t>
      </w:r>
      <w:r>
        <w:rPr>
          <w:color w:val="000000"/>
        </w:rPr>
        <w:t>’s</w:t>
      </w:r>
      <w:r w:rsidRPr="005B4275">
        <w:rPr>
          <w:color w:val="000000"/>
        </w:rPr>
        <w:t xml:space="preserve"> transmission bandwidth varies according to the sub-band specific LBT. From UE point of view, the situation is more challenging. </w:t>
      </w:r>
    </w:p>
    <w:p w14:paraId="39088833" w14:textId="0A4D3FBB"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Prior to the start of DL transmission, the UE knows only the BW of the BWP (i.e. all sub-bands included within the BWP) on which the gNB may transmit but not the actual transmission band (Tx BW depends on gNB’s LBT). So, UE will use the full BWP to detect DL transmission burst.</w:t>
      </w:r>
    </w:p>
    <w:p w14:paraId="175DD4EA" w14:textId="5A6AA788"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UE could read the Tx BW configuration from DL control channel </w:t>
      </w:r>
      <w:r w:rsidR="00CB78DE">
        <w:rPr>
          <w:color w:val="000000"/>
          <w:sz w:val="20"/>
          <w:szCs w:val="20"/>
          <w:lang w:val="en-GB"/>
        </w:rPr>
        <w:t>and/</w:t>
      </w:r>
      <w:r w:rsidRPr="00C53A37">
        <w:rPr>
          <w:color w:val="000000"/>
          <w:sz w:val="20"/>
          <w:szCs w:val="20"/>
          <w:lang w:val="en-GB"/>
        </w:rPr>
        <w:t>or other burst-detection signal</w:t>
      </w:r>
      <w:r w:rsidR="00CB78DE">
        <w:rPr>
          <w:color w:val="000000"/>
          <w:sz w:val="20"/>
          <w:szCs w:val="20"/>
          <w:lang w:val="en-GB"/>
        </w:rPr>
        <w:t xml:space="preserve"> (e.g. PDCCH DMRS)</w:t>
      </w:r>
      <w:r w:rsidRPr="00C53A37">
        <w:rPr>
          <w:color w:val="000000"/>
          <w:sz w:val="20"/>
          <w:szCs w:val="20"/>
          <w:lang w:val="en-GB"/>
        </w:rPr>
        <w:t xml:space="preserve">. </w:t>
      </w:r>
    </w:p>
    <w:p w14:paraId="05BDCAF6" w14:textId="51E536D0" w:rsidR="00DA317A" w:rsidRPr="00C53A37" w:rsidRDefault="00DA317A" w:rsidP="00D7163D">
      <w:pPr>
        <w:pStyle w:val="ListParagraph"/>
        <w:numPr>
          <w:ilvl w:val="0"/>
          <w:numId w:val="2"/>
        </w:numPr>
        <w:spacing w:after="240"/>
        <w:jc w:val="both"/>
        <w:rPr>
          <w:color w:val="000000"/>
          <w:lang w:val="en-US"/>
        </w:rPr>
      </w:pPr>
      <w:r w:rsidRPr="00C53A37">
        <w:rPr>
          <w:color w:val="000000"/>
          <w:sz w:val="20"/>
          <w:szCs w:val="20"/>
          <w:lang w:val="en-GB"/>
        </w:rPr>
        <w:t>As soon as UE knows the Tx BW</w:t>
      </w:r>
      <w:r w:rsidR="00E2428C">
        <w:rPr>
          <w:color w:val="000000"/>
          <w:sz w:val="20"/>
          <w:szCs w:val="20"/>
          <w:lang w:val="en-GB"/>
        </w:rPr>
        <w:t>,</w:t>
      </w:r>
      <w:r w:rsidRPr="00C53A37">
        <w:rPr>
          <w:color w:val="000000"/>
          <w:sz w:val="20"/>
          <w:szCs w:val="20"/>
          <w:lang w:val="en-GB"/>
        </w:rPr>
        <w:t xml:space="preserve"> the UE starts to monitor only on active sub-bands of the BWP. </w:t>
      </w:r>
    </w:p>
    <w:p w14:paraId="5D1FEA73" w14:textId="7F2C8CCD" w:rsidR="00DA317A" w:rsidRDefault="00DA317A" w:rsidP="00DA317A">
      <w:pPr>
        <w:jc w:val="both"/>
        <w:rPr>
          <w:color w:val="000000"/>
        </w:rPr>
      </w:pPr>
      <w:r>
        <w:rPr>
          <w:color w:val="000000"/>
        </w:rPr>
        <w:t>In NR licensed, CORESETs and search-space-sets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It is clear that PDCCH structures </w:t>
      </w:r>
      <w:r w:rsidR="00841BD4">
        <w:rPr>
          <w:color w:val="000000"/>
        </w:rPr>
        <w:t xml:space="preserve">defined for NR licensed band operation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sub-bands LBT fails, the majority of PDCCH candidates will be dropped. </w:t>
      </w:r>
    </w:p>
    <w:p w14:paraId="2C7228A0" w14:textId="3909A4D2"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1C193F">
        <w:rPr>
          <w:b/>
          <w:i/>
          <w:color w:val="000000"/>
        </w:rPr>
        <w:t>2</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Pr="00A60F5C">
        <w:rPr>
          <w:i/>
          <w:color w:val="000000"/>
        </w:rPr>
        <w:t xml:space="preserve">    </w:t>
      </w:r>
    </w:p>
    <w:p w14:paraId="328D5CB7" w14:textId="778039FE" w:rsidR="00DA317A" w:rsidRDefault="00DA317A" w:rsidP="00DA317A">
      <w:pPr>
        <w:jc w:val="both"/>
        <w:rPr>
          <w:color w:val="000000"/>
        </w:rPr>
      </w:pPr>
      <w:r>
        <w:rPr>
          <w:color w:val="000000"/>
        </w:rPr>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However, this approach would </w:t>
      </w:r>
      <w:r w:rsidR="004B64DB">
        <w:rPr>
          <w:color w:val="000000"/>
        </w:rPr>
        <w:t xml:space="preserve">increase the number of </w:t>
      </w:r>
      <w:r>
        <w:rPr>
          <w:color w:val="000000"/>
        </w:rPr>
        <w:t xml:space="preserve">the required configurations significantly. In </w:t>
      </w:r>
      <w:r w:rsidR="004B64DB">
        <w:rPr>
          <w:color w:val="000000"/>
        </w:rPr>
        <w:t xml:space="preserve">a </w:t>
      </w:r>
      <w:r>
        <w:rPr>
          <w:color w:val="000000"/>
        </w:rPr>
        <w:t xml:space="preserve">BWP containing 4 sub-bands, gNB would need to configure 4x more CORESETs, and </w:t>
      </w:r>
      <w:r>
        <w:rPr>
          <w:color w:val="000000"/>
        </w:rPr>
        <w:lastRenderedPageBreak/>
        <w:t>4x more search-space-sets, to distribute PDCCH candidates among the sub-bands. This increas</w:t>
      </w:r>
      <w:r w:rsidR="004B64DB">
        <w:rPr>
          <w:color w:val="000000"/>
        </w:rPr>
        <w:t>es</w:t>
      </w:r>
      <w:r>
        <w:rPr>
          <w:color w:val="000000"/>
        </w:rPr>
        <w:t xml:space="preserve"> the RRC overhead and implementation complexity.</w:t>
      </w:r>
    </w:p>
    <w:p w14:paraId="742AA31B" w14:textId="4EBE6B86" w:rsidR="00DA317A" w:rsidRPr="00A3156C" w:rsidRDefault="00DA317A" w:rsidP="00DA317A">
      <w:pPr>
        <w:jc w:val="both"/>
        <w:rPr>
          <w:i/>
          <w:color w:val="000000"/>
        </w:rPr>
      </w:pPr>
      <w:r w:rsidRPr="0048748C">
        <w:rPr>
          <w:b/>
          <w:i/>
          <w:color w:val="000000"/>
        </w:rPr>
        <w:t>Observation</w:t>
      </w:r>
      <w:r w:rsidR="008F0BCD">
        <w:rPr>
          <w:b/>
          <w:i/>
          <w:color w:val="000000"/>
        </w:rPr>
        <w:t xml:space="preserve"> </w:t>
      </w:r>
      <w:r w:rsidR="001C193F">
        <w:rPr>
          <w:b/>
          <w:i/>
          <w:color w:val="000000"/>
        </w:rPr>
        <w:t>3</w:t>
      </w:r>
      <w:r w:rsidRPr="0048748C">
        <w:rPr>
          <w:i/>
          <w:color w:val="000000"/>
        </w:rPr>
        <w:t xml:space="preserve">: Restriction of CORESET configuration into a sub-band </w:t>
      </w:r>
      <w:r w:rsidR="004B64DB">
        <w:rPr>
          <w:i/>
          <w:color w:val="000000"/>
        </w:rPr>
        <w:t>increases</w:t>
      </w:r>
      <w:r w:rsidRPr="0048748C">
        <w:rPr>
          <w:i/>
          <w:color w:val="000000"/>
        </w:rPr>
        <w:t xml:space="preserve"> the RRC signalling overhead and implementation complexity.</w:t>
      </w:r>
    </w:p>
    <w:p w14:paraId="39811BF1" w14:textId="631F6F95" w:rsidR="00C1091D" w:rsidRDefault="001647CD" w:rsidP="00DA317A">
      <w:pPr>
        <w:jc w:val="both"/>
        <w:rPr>
          <w:color w:val="000000"/>
        </w:rPr>
      </w:pPr>
      <w:r>
        <w:rPr>
          <w:color w:val="000000"/>
        </w:rPr>
        <w:t xml:space="preserve">Therefore, </w:t>
      </w:r>
      <w:r w:rsidR="00C1091D">
        <w:rPr>
          <w:color w:val="000000"/>
        </w:rPr>
        <w:t xml:space="preserve">we propose to </w:t>
      </w:r>
      <w:r w:rsidR="00454ECB">
        <w:rPr>
          <w:color w:val="000000"/>
        </w:rPr>
        <w:t>use</w:t>
      </w:r>
      <w:r w:rsidR="00C1091D">
        <w:rPr>
          <w:color w:val="000000"/>
        </w:rPr>
        <w:t xml:space="preserve"> the existing</w:t>
      </w:r>
      <w:r w:rsidR="005976E0">
        <w:rPr>
          <w:color w:val="000000"/>
        </w:rPr>
        <w:t xml:space="preserve"> R15 </w:t>
      </w:r>
      <w:r w:rsidR="00454ECB">
        <w:rPr>
          <w:color w:val="000000"/>
        </w:rPr>
        <w:t>DL control</w:t>
      </w:r>
      <w:r w:rsidR="005976E0">
        <w:rPr>
          <w:color w:val="000000"/>
        </w:rPr>
        <w:t xml:space="preserve"> structures</w:t>
      </w:r>
      <w:r w:rsidR="00454ECB">
        <w:rPr>
          <w:color w:val="000000"/>
        </w:rPr>
        <w:t xml:space="preserve"> as baseline, with the following</w:t>
      </w:r>
      <w:r w:rsidR="00C1091D">
        <w:rPr>
          <w:color w:val="000000"/>
        </w:rPr>
        <w:t xml:space="preserve"> </w:t>
      </w:r>
      <w:r w:rsidR="005976E0">
        <w:rPr>
          <w:color w:val="000000"/>
        </w:rPr>
        <w:t>specification changes</w:t>
      </w:r>
      <w:r w:rsidR="00454ECB">
        <w:rPr>
          <w:color w:val="000000"/>
        </w:rPr>
        <w:t xml:space="preserve"> for Option 3:</w:t>
      </w:r>
      <w:r w:rsidR="005976E0">
        <w:rPr>
          <w:color w:val="000000"/>
        </w:rPr>
        <w:t xml:space="preserve"> (i) the 45</w:t>
      </w:r>
      <w:r w:rsidR="00454ECB">
        <w:rPr>
          <w:color w:val="000000"/>
        </w:rPr>
        <w:t xml:space="preserve">-bit </w:t>
      </w:r>
      <w:r w:rsidR="005976E0">
        <w:rPr>
          <w:color w:val="000000"/>
        </w:rPr>
        <w:t xml:space="preserve">bitmap configuring CORESET from the beginning of BWP has to take into account guard-bands (if needed) and sub-band </w:t>
      </w:r>
      <w:r w:rsidR="00454ECB">
        <w:rPr>
          <w:color w:val="000000"/>
        </w:rPr>
        <w:t>boundaries,</w:t>
      </w:r>
      <w:r w:rsidR="005976E0">
        <w:rPr>
          <w:color w:val="000000"/>
        </w:rPr>
        <w:t xml:space="preserve"> (ii) search-space hashing operates on set of CCE within sub-bands. Such, when some sub-bands are blocked by LBT, PDCCH candidates in sub-bands blocked by LBT are dropped.   </w:t>
      </w:r>
    </w:p>
    <w:p w14:paraId="6F9BA532" w14:textId="0D338AE5" w:rsidR="00CB78DE" w:rsidRDefault="001647CD" w:rsidP="00AE66BC">
      <w:pPr>
        <w:spacing w:after="0"/>
        <w:jc w:val="both"/>
        <w:rPr>
          <w:b/>
          <w:color w:val="000000"/>
        </w:rPr>
      </w:pPr>
      <w:r w:rsidRPr="001647CD">
        <w:rPr>
          <w:b/>
          <w:color w:val="000000"/>
        </w:rPr>
        <w:t>CORESET configuration:</w:t>
      </w:r>
      <w:r>
        <w:rPr>
          <w:color w:val="000000"/>
        </w:rPr>
        <w:t xml:space="preserve"> </w:t>
      </w:r>
      <w:r w:rsidR="009F4CC2">
        <w:rPr>
          <w:color w:val="000000"/>
        </w:rPr>
        <w:t>The configuration of CORESET is shown on an example of 40M</w:t>
      </w:r>
      <w:r w:rsidR="00CB78DE">
        <w:rPr>
          <w:color w:val="000000"/>
        </w:rPr>
        <w:t>H</w:t>
      </w:r>
      <w:r w:rsidR="009F4CC2">
        <w:rPr>
          <w:color w:val="000000"/>
        </w:rPr>
        <w:t>z BWP with t</w:t>
      </w:r>
      <w:r w:rsidR="004858BF">
        <w:rPr>
          <w:color w:val="000000"/>
        </w:rPr>
        <w:t>w</w:t>
      </w:r>
      <w:r w:rsidR="009F4CC2">
        <w:rPr>
          <w:color w:val="000000"/>
        </w:rPr>
        <w:t>o</w:t>
      </w:r>
      <w:r>
        <w:rPr>
          <w:color w:val="000000"/>
        </w:rPr>
        <w:t xml:space="preserve"> 20M</w:t>
      </w:r>
      <w:r w:rsidR="00CB78DE">
        <w:rPr>
          <w:color w:val="000000"/>
        </w:rPr>
        <w:t>H</w:t>
      </w:r>
      <w:r>
        <w:rPr>
          <w:color w:val="000000"/>
        </w:rPr>
        <w:t>z</w:t>
      </w:r>
      <w:r w:rsidR="009F4CC2">
        <w:rPr>
          <w:color w:val="000000"/>
        </w:rPr>
        <w:t xml:space="preserve"> LBT sub-bands in Figure 1. The </w:t>
      </w:r>
      <w:r w:rsidR="007476A2">
        <w:rPr>
          <w:color w:val="000000"/>
        </w:rPr>
        <w:t>legacy</w:t>
      </w:r>
      <w:r w:rsidR="009F4CC2">
        <w:rPr>
          <w:color w:val="000000"/>
        </w:rPr>
        <w:t xml:space="preserve"> </w:t>
      </w:r>
      <w:r w:rsidR="007476A2">
        <w:rPr>
          <w:color w:val="000000"/>
        </w:rPr>
        <w:t xml:space="preserve">CORESET </w:t>
      </w:r>
      <w:r w:rsidR="009F4CC2">
        <w:rPr>
          <w:color w:val="000000"/>
        </w:rPr>
        <w:t xml:space="preserve">configuration bitmap on a BWP is reused, </w:t>
      </w:r>
      <w:r w:rsidR="007476A2">
        <w:rPr>
          <w:color w:val="000000"/>
        </w:rPr>
        <w:t>with restriction that a</w:t>
      </w:r>
      <w:r w:rsidR="009F4CC2">
        <w:rPr>
          <w:color w:val="000000"/>
        </w:rPr>
        <w:t xml:space="preserve"> gNB is not allowed to</w:t>
      </w:r>
      <w:r w:rsidR="004858BF">
        <w:rPr>
          <w:color w:val="000000"/>
        </w:rPr>
        <w:t xml:space="preserve"> configure CORESET on</w:t>
      </w:r>
      <w:r w:rsidR="009F4CC2">
        <w:rPr>
          <w:color w:val="000000"/>
        </w:rPr>
        <w:t xml:space="preserve"> </w:t>
      </w:r>
      <w:r w:rsidR="004858BF">
        <w:rPr>
          <w:color w:val="000000"/>
        </w:rPr>
        <w:t>6RB-clusters for which</w:t>
      </w:r>
      <w:r w:rsidR="009F4CC2">
        <w:rPr>
          <w:color w:val="000000"/>
        </w:rPr>
        <w:t xml:space="preserve"> </w:t>
      </w:r>
      <w:r w:rsidR="004858BF">
        <w:rPr>
          <w:color w:val="000000"/>
        </w:rPr>
        <w:t xml:space="preserve">at least one RB is </w:t>
      </w:r>
      <w:r w:rsidR="009F4CC2">
        <w:rPr>
          <w:color w:val="000000"/>
        </w:rPr>
        <w:t xml:space="preserve">outside the </w:t>
      </w:r>
      <w:r w:rsidR="004858BF">
        <w:rPr>
          <w:color w:val="000000"/>
        </w:rPr>
        <w:t xml:space="preserve">active RBs of a </w:t>
      </w:r>
      <w:r w:rsidR="00AE66BC">
        <w:rPr>
          <w:color w:val="000000"/>
        </w:rPr>
        <w:t>sub-band</w:t>
      </w:r>
      <w:r w:rsidR="004858BF">
        <w:rPr>
          <w:color w:val="000000"/>
        </w:rPr>
        <w:t xml:space="preserve">. </w:t>
      </w:r>
      <w:r>
        <w:rPr>
          <w:color w:val="000000"/>
        </w:rPr>
        <w:t xml:space="preserve">Figure 1 illustrated two possible alignments of clusters: </w:t>
      </w:r>
    </w:p>
    <w:p w14:paraId="0410FB59" w14:textId="343D5233" w:rsidR="00CB78DE"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 xml:space="preserve">1 </w:t>
      </w:r>
      <w:r w:rsidR="00C74A6D" w:rsidRPr="00AE66BC">
        <w:rPr>
          <w:color w:val="000000"/>
          <w:sz w:val="20"/>
          <w:szCs w:val="20"/>
          <w:lang w:val="en-GB"/>
        </w:rPr>
        <w:t>(</w:t>
      </w:r>
      <w:r w:rsidR="001647CD" w:rsidRPr="00AE66BC">
        <w:rPr>
          <w:color w:val="000000"/>
          <w:sz w:val="20"/>
          <w:szCs w:val="20"/>
          <w:lang w:val="en-GB"/>
        </w:rPr>
        <w:t>upper</w:t>
      </w:r>
      <w:r w:rsidRPr="00AE66BC">
        <w:rPr>
          <w:color w:val="000000"/>
          <w:sz w:val="20"/>
          <w:szCs w:val="20"/>
          <w:lang w:val="en-GB"/>
        </w:rPr>
        <w:t xml:space="preserve"> Figure 1</w:t>
      </w:r>
      <w:r w:rsidR="00C74A6D" w:rsidRPr="00AE66BC">
        <w:rPr>
          <w:color w:val="000000"/>
          <w:sz w:val="20"/>
          <w:szCs w:val="20"/>
          <w:lang w:val="en-GB"/>
        </w:rPr>
        <w:t>)</w:t>
      </w:r>
      <w:r w:rsidR="00C74A6D" w:rsidRPr="00AE66BC">
        <w:rPr>
          <w:b/>
          <w:color w:val="000000"/>
          <w:sz w:val="20"/>
          <w:szCs w:val="20"/>
          <w:lang w:val="en-GB"/>
        </w:rPr>
        <w:t>:</w:t>
      </w:r>
      <w:r w:rsidR="001647CD" w:rsidRPr="00AE66BC">
        <w:rPr>
          <w:color w:val="000000"/>
          <w:sz w:val="20"/>
          <w:szCs w:val="20"/>
          <w:lang w:val="en-GB"/>
        </w:rPr>
        <w:t xml:space="preserve"> the CORESET#0 starts at the first usable PRB of the sub-band, the CORESETs other than 0, follow the 6PRB within the sub-bands. </w:t>
      </w:r>
    </w:p>
    <w:p w14:paraId="0520F44F" w14:textId="4284D887" w:rsidR="00C74A6D"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2</w:t>
      </w:r>
      <w:r w:rsidR="00C74A6D">
        <w:rPr>
          <w:b/>
          <w:color w:val="000000"/>
          <w:sz w:val="20"/>
          <w:szCs w:val="20"/>
          <w:lang w:val="en-GB"/>
        </w:rPr>
        <w:t xml:space="preserve"> </w:t>
      </w:r>
      <w:r w:rsidR="00C74A6D" w:rsidRPr="00AE66BC">
        <w:rPr>
          <w:color w:val="000000"/>
          <w:sz w:val="20"/>
          <w:szCs w:val="20"/>
          <w:lang w:val="en-GB"/>
        </w:rPr>
        <w:t>(</w:t>
      </w:r>
      <w:r w:rsidR="001647CD" w:rsidRPr="00AE66BC">
        <w:rPr>
          <w:color w:val="000000"/>
          <w:sz w:val="20"/>
          <w:szCs w:val="20"/>
          <w:lang w:val="en-GB"/>
        </w:rPr>
        <w:t>lower</w:t>
      </w:r>
      <w:r w:rsidRPr="00AE66BC">
        <w:rPr>
          <w:color w:val="000000"/>
          <w:sz w:val="20"/>
          <w:szCs w:val="20"/>
          <w:lang w:val="en-GB"/>
        </w:rPr>
        <w:t xml:space="preserve"> Figure 1</w:t>
      </w:r>
      <w:r w:rsidR="00C74A6D" w:rsidRPr="00AE66BC">
        <w:rPr>
          <w:color w:val="000000"/>
          <w:sz w:val="20"/>
          <w:szCs w:val="20"/>
          <w:lang w:val="en-GB"/>
        </w:rPr>
        <w:t>)</w:t>
      </w:r>
      <w:r w:rsidR="00C74A6D">
        <w:rPr>
          <w:b/>
          <w:color w:val="000000"/>
          <w:sz w:val="20"/>
          <w:szCs w:val="20"/>
          <w:lang w:val="en-GB"/>
        </w:rPr>
        <w:t>:</w:t>
      </w:r>
      <w:r w:rsidR="001647CD" w:rsidRPr="00AE66BC">
        <w:rPr>
          <w:color w:val="000000"/>
          <w:sz w:val="20"/>
          <w:szCs w:val="20"/>
          <w:lang w:val="en-GB"/>
        </w:rPr>
        <w:t xml:space="preserve"> the CORESET 6PRB grid of is defined by Point A, and CORESET#0 is</w:t>
      </w:r>
      <w:r w:rsidRPr="00AE66BC">
        <w:rPr>
          <w:color w:val="000000"/>
          <w:sz w:val="20"/>
          <w:szCs w:val="20"/>
          <w:lang w:val="en-GB"/>
        </w:rPr>
        <w:t xml:space="preserve"> either mis-aligned, or configured to match the grid (as on Figure1). Since NR-U is </w:t>
      </w:r>
      <w:r w:rsidR="00C74A6D" w:rsidRPr="00AE66BC">
        <w:rPr>
          <w:color w:val="000000"/>
          <w:sz w:val="20"/>
          <w:szCs w:val="20"/>
          <w:lang w:val="en-GB"/>
        </w:rPr>
        <w:t xml:space="preserve">a </w:t>
      </w:r>
      <w:r w:rsidRPr="00AE66BC">
        <w:rPr>
          <w:color w:val="000000"/>
          <w:sz w:val="20"/>
          <w:szCs w:val="20"/>
          <w:lang w:val="en-GB"/>
        </w:rPr>
        <w:t>special</w:t>
      </w:r>
      <w:r w:rsidR="00C74A6D" w:rsidRPr="00AE66BC">
        <w:rPr>
          <w:color w:val="000000"/>
          <w:sz w:val="20"/>
          <w:szCs w:val="20"/>
          <w:lang w:val="en-GB"/>
        </w:rPr>
        <w:t xml:space="preserve"> scenario</w:t>
      </w:r>
      <w:r w:rsidRPr="00AE66BC">
        <w:rPr>
          <w:color w:val="000000"/>
          <w:sz w:val="20"/>
          <w:szCs w:val="20"/>
          <w:lang w:val="en-GB"/>
        </w:rPr>
        <w:t xml:space="preserve"> compared to licensed NR, in the fact that channelization is based on 20MHz blocks, we slightly prefer Alt 1, i.e. redefine the 6-PRB cluster grid for NR-U</w:t>
      </w:r>
      <w:r w:rsidR="00C74A6D">
        <w:rPr>
          <w:color w:val="000000"/>
          <w:sz w:val="20"/>
          <w:szCs w:val="20"/>
          <w:lang w:val="en-GB"/>
        </w:rPr>
        <w:t>.</w:t>
      </w:r>
    </w:p>
    <w:p w14:paraId="48D44351" w14:textId="6CD366F0" w:rsidR="001647CD" w:rsidRPr="00AE66BC" w:rsidRDefault="00955097" w:rsidP="00AE66BC">
      <w:pPr>
        <w:pStyle w:val="ListParagraph"/>
        <w:jc w:val="both"/>
        <w:rPr>
          <w:color w:val="000000"/>
          <w:lang w:val="en-US"/>
        </w:rPr>
      </w:pPr>
      <w:r w:rsidRPr="00AE66BC">
        <w:rPr>
          <w:color w:val="000000"/>
          <w:sz w:val="20"/>
          <w:szCs w:val="20"/>
          <w:lang w:val="en-GB"/>
        </w:rPr>
        <w:t xml:space="preserve">  </w:t>
      </w:r>
    </w:p>
    <w:p w14:paraId="5D4C76D5" w14:textId="47DE88F1" w:rsidR="009F4CC2" w:rsidRDefault="001647CD" w:rsidP="009F4CC2">
      <w:pPr>
        <w:keepNext/>
        <w:jc w:val="center"/>
      </w:pPr>
      <w:r>
        <w:object w:dxaOrig="8012" w:dyaOrig="2729" w14:anchorId="43264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35.95pt" o:ole="">
            <v:imagedata r:id="rId13" o:title=""/>
          </v:shape>
          <o:OLEObject Type="Embed" ProgID="Visio.Drawing.11" ShapeID="_x0000_i1025" DrawAspect="Content" ObjectID="_1608741248" r:id="rId14"/>
        </w:object>
      </w:r>
    </w:p>
    <w:p w14:paraId="4863040A" w14:textId="56AA8C1A" w:rsidR="009F4CC2" w:rsidRDefault="009F4CC2" w:rsidP="009F4CC2">
      <w:pPr>
        <w:pStyle w:val="Caption"/>
        <w:jc w:val="center"/>
        <w:rPr>
          <w:color w:val="000000"/>
        </w:rPr>
      </w:pPr>
      <w:r>
        <w:t xml:space="preserve">Figure </w:t>
      </w:r>
      <w:r>
        <w:fldChar w:fldCharType="begin"/>
      </w:r>
      <w:r>
        <w:instrText xml:space="preserve"> SEQ Figure \* ARABIC </w:instrText>
      </w:r>
      <w:r>
        <w:fldChar w:fldCharType="separate"/>
      </w:r>
      <w:r w:rsidR="00AD69EF">
        <w:rPr>
          <w:noProof/>
        </w:rPr>
        <w:t>1</w:t>
      </w:r>
      <w:r>
        <w:fldChar w:fldCharType="end"/>
      </w:r>
      <w:r>
        <w:t xml:space="preserve"> </w:t>
      </w:r>
      <w:r w:rsidR="004858BF">
        <w:t>Bitmap for CORESET configuration</w:t>
      </w:r>
    </w:p>
    <w:p w14:paraId="07E3942F" w14:textId="0F95A2B9" w:rsidR="004858BF" w:rsidRDefault="001647CD" w:rsidP="00DA317A">
      <w:pPr>
        <w:jc w:val="both"/>
        <w:rPr>
          <w:color w:val="000000"/>
        </w:rPr>
      </w:pPr>
      <w:r w:rsidRPr="001647CD">
        <w:rPr>
          <w:b/>
          <w:color w:val="000000"/>
        </w:rPr>
        <w:t>Hashing:</w:t>
      </w:r>
      <w:r>
        <w:rPr>
          <w:color w:val="000000"/>
        </w:rPr>
        <w:t xml:space="preserve"> </w:t>
      </w:r>
      <w:r w:rsidR="004858BF">
        <w:rPr>
          <w:color w:val="000000"/>
        </w:rPr>
        <w:t>The indexing of</w:t>
      </w:r>
      <w:r w:rsidR="00733BA5">
        <w:rPr>
          <w:color w:val="000000"/>
        </w:rPr>
        <w:t xml:space="preserve"> CCEs and hashed PDCCH</w:t>
      </w:r>
      <w:r w:rsidR="004858BF">
        <w:rPr>
          <w:color w:val="000000"/>
        </w:rPr>
        <w:t xml:space="preserve"> candidates within the CORESET</w:t>
      </w:r>
      <w:r w:rsidR="00733BA5">
        <w:rPr>
          <w:color w:val="000000"/>
        </w:rPr>
        <w:t xml:space="preserve"> configured in Figure 1</w:t>
      </w:r>
      <w:r w:rsidR="004858BF">
        <w:rPr>
          <w:color w:val="000000"/>
        </w:rPr>
        <w:t xml:space="preserve"> is illustrated in</w:t>
      </w:r>
      <w:r w:rsidR="007476A2">
        <w:rPr>
          <w:color w:val="000000"/>
        </w:rPr>
        <w:t xml:space="preserve"> an example in</w:t>
      </w:r>
      <w:r w:rsidR="004858BF">
        <w:rPr>
          <w:color w:val="000000"/>
        </w:rPr>
        <w:t xml:space="preserve"> Figure 2</w:t>
      </w:r>
      <w:r w:rsidR="00733BA5">
        <w:rPr>
          <w:color w:val="000000"/>
        </w:rPr>
        <w:t xml:space="preserve">. It is assumed that CORESET is 1 symbol long. In the Figure 2, </w:t>
      </w:r>
      <w:r w:rsidR="00733BA5" w:rsidRPr="00733BA5">
        <w:rPr>
          <w:i/>
          <w:color w:val="000000"/>
        </w:rPr>
        <w:t>x-y</w:t>
      </w:r>
      <w:r w:rsidR="00733BA5">
        <w:rPr>
          <w:color w:val="000000"/>
        </w:rPr>
        <w:t xml:space="preserve"> denotes </w:t>
      </w:r>
      <w:r w:rsidR="007476A2">
        <w:rPr>
          <w:color w:val="000000"/>
        </w:rPr>
        <w:t xml:space="preserve">indices of </w:t>
      </w:r>
      <w:r w:rsidR="00733BA5">
        <w:rPr>
          <w:color w:val="000000"/>
        </w:rPr>
        <w:t xml:space="preserve">CCE/PDCCH candidate </w:t>
      </w:r>
      <w:r w:rsidR="00733BA5" w:rsidRPr="00733BA5">
        <w:rPr>
          <w:i/>
          <w:color w:val="000000"/>
        </w:rPr>
        <w:t>y</w:t>
      </w:r>
      <w:r w:rsidR="00733BA5">
        <w:rPr>
          <w:color w:val="000000"/>
        </w:rPr>
        <w:t xml:space="preserve"> in sub-band </w:t>
      </w:r>
      <w:r w:rsidR="00733BA5" w:rsidRPr="00733BA5">
        <w:rPr>
          <w:i/>
          <w:color w:val="000000"/>
        </w:rPr>
        <w:t>x</w:t>
      </w:r>
      <w:r w:rsidR="00733BA5">
        <w:rPr>
          <w:i/>
          <w:color w:val="000000"/>
        </w:rPr>
        <w:t xml:space="preserve">. </w:t>
      </w:r>
      <w:r w:rsidR="00733BA5">
        <w:rPr>
          <w:color w:val="000000"/>
        </w:rPr>
        <w:t xml:space="preserve">Search-space set is configured with 4 PDCCH candidates of AL 1. Whether </w:t>
      </w:r>
      <w:r w:rsidR="007476A2">
        <w:rPr>
          <w:color w:val="000000"/>
        </w:rPr>
        <w:t xml:space="preserve">a </w:t>
      </w:r>
      <w:r w:rsidR="00733BA5">
        <w:rPr>
          <w:color w:val="000000"/>
        </w:rPr>
        <w:t xml:space="preserve">configured SS set applies to all LBT sub-bands, or only </w:t>
      </w:r>
      <w:r w:rsidR="007476A2">
        <w:rPr>
          <w:color w:val="000000"/>
        </w:rPr>
        <w:t>subset</w:t>
      </w:r>
      <w:r w:rsidR="00733BA5">
        <w:rPr>
          <w:color w:val="000000"/>
        </w:rPr>
        <w:t xml:space="preserve"> of </w:t>
      </w:r>
      <w:r w:rsidR="007476A2">
        <w:rPr>
          <w:color w:val="000000"/>
        </w:rPr>
        <w:t xml:space="preserve">BWP </w:t>
      </w:r>
      <w:r w:rsidR="00733BA5">
        <w:rPr>
          <w:color w:val="000000"/>
        </w:rPr>
        <w:t>sub-bands</w:t>
      </w:r>
      <w:r w:rsidR="007476A2">
        <w:rPr>
          <w:color w:val="000000"/>
        </w:rPr>
        <w:t>,</w:t>
      </w:r>
      <w:r w:rsidR="00733BA5">
        <w:rPr>
          <w:color w:val="000000"/>
        </w:rPr>
        <w:t xml:space="preserve"> as well as other details shall be further studied.</w:t>
      </w:r>
    </w:p>
    <w:p w14:paraId="7B409D42" w14:textId="218933E5" w:rsidR="004858BF" w:rsidRDefault="00955097" w:rsidP="004858BF">
      <w:pPr>
        <w:keepNext/>
        <w:jc w:val="center"/>
      </w:pPr>
      <w:r>
        <w:object w:dxaOrig="7576" w:dyaOrig="1309" w14:anchorId="6407FD31">
          <v:shape id="_x0000_i1026" type="#_x0000_t75" style="width:377.2pt;height:65.55pt" o:ole="">
            <v:imagedata r:id="rId15" o:title=""/>
          </v:shape>
          <o:OLEObject Type="Embed" ProgID="Visio.Drawing.11" ShapeID="_x0000_i1026" DrawAspect="Content" ObjectID="_1608741249" r:id="rId16"/>
        </w:object>
      </w:r>
    </w:p>
    <w:p w14:paraId="7F16B3AE" w14:textId="3C01C8D2" w:rsidR="004858BF" w:rsidRDefault="004858BF" w:rsidP="004858BF">
      <w:pPr>
        <w:pStyle w:val="Caption"/>
        <w:jc w:val="center"/>
        <w:rPr>
          <w:color w:val="000000"/>
        </w:rPr>
      </w:pPr>
      <w:r>
        <w:t xml:space="preserve">Figure </w:t>
      </w:r>
      <w:r>
        <w:fldChar w:fldCharType="begin"/>
      </w:r>
      <w:r>
        <w:instrText xml:space="preserve"> SEQ Figure \* ARABIC </w:instrText>
      </w:r>
      <w:r>
        <w:fldChar w:fldCharType="separate"/>
      </w:r>
      <w:r w:rsidR="00AD69EF">
        <w:rPr>
          <w:noProof/>
        </w:rPr>
        <w:t>2</w:t>
      </w:r>
      <w:r>
        <w:fldChar w:fldCharType="end"/>
      </w:r>
      <w:r w:rsidR="00733BA5">
        <w:t xml:space="preserve"> Sub-band-based hashing</w:t>
      </w:r>
    </w:p>
    <w:p w14:paraId="51B37304" w14:textId="46B6B505" w:rsidR="004858BF" w:rsidRDefault="004858BF" w:rsidP="00DA317A">
      <w:pPr>
        <w:jc w:val="both"/>
        <w:rPr>
          <w:color w:val="000000"/>
        </w:rPr>
      </w:pPr>
    </w:p>
    <w:p w14:paraId="6A4B5928" w14:textId="3E68AD1E" w:rsidR="00733BA5" w:rsidRDefault="00733BA5" w:rsidP="00DA317A">
      <w:pPr>
        <w:jc w:val="both"/>
        <w:rPr>
          <w:color w:val="000000"/>
        </w:rPr>
      </w:pPr>
      <w:r>
        <w:rPr>
          <w:color w:val="000000"/>
        </w:rPr>
        <w:t>While details are FFS, we have the following high-level proposal</w:t>
      </w:r>
      <w:r w:rsidR="000823F3">
        <w:rPr>
          <w:color w:val="000000"/>
        </w:rPr>
        <w:t xml:space="preserve"> to move forward</w:t>
      </w:r>
      <w:r>
        <w:rPr>
          <w:color w:val="000000"/>
        </w:rPr>
        <w:t xml:space="preserve">:  </w:t>
      </w:r>
    </w:p>
    <w:p w14:paraId="794E6A19" w14:textId="5F3E217C" w:rsidR="005976E0" w:rsidRPr="00C53A37" w:rsidRDefault="00D45AA1" w:rsidP="00C53A37">
      <w:pPr>
        <w:spacing w:after="0"/>
        <w:jc w:val="both"/>
        <w:rPr>
          <w:i/>
          <w:color w:val="000000"/>
        </w:rPr>
      </w:pPr>
      <w:r>
        <w:rPr>
          <w:b/>
          <w:i/>
          <w:color w:val="000000"/>
        </w:rPr>
        <w:t>Proposal</w:t>
      </w:r>
      <w:r w:rsidR="00454ECB">
        <w:rPr>
          <w:b/>
          <w:i/>
          <w:color w:val="000000"/>
        </w:rPr>
        <w:t xml:space="preserve"> </w:t>
      </w:r>
      <w:r w:rsidR="001C193F">
        <w:rPr>
          <w:b/>
          <w:i/>
          <w:color w:val="000000"/>
        </w:rPr>
        <w:t>3</w:t>
      </w:r>
      <w:r w:rsidR="005976E0" w:rsidRPr="00C53A37">
        <w:rPr>
          <w:b/>
          <w:i/>
          <w:color w:val="000000"/>
        </w:rPr>
        <w:t>:</w:t>
      </w:r>
      <w:r>
        <w:rPr>
          <w:b/>
          <w:i/>
          <w:color w:val="000000"/>
        </w:rPr>
        <w:t xml:space="preserve"> </w:t>
      </w:r>
      <w:r w:rsidR="005976E0" w:rsidRPr="00C53A37">
        <w:rPr>
          <w:i/>
          <w:color w:val="000000"/>
        </w:rPr>
        <w:t>If BWP operation according to</w:t>
      </w:r>
      <w:r w:rsidR="001C193F">
        <w:rPr>
          <w:i/>
          <w:color w:val="000000"/>
        </w:rPr>
        <w:t xml:space="preserve"> modified</w:t>
      </w:r>
      <w:r w:rsidR="005976E0" w:rsidRPr="00C53A37">
        <w:rPr>
          <w:i/>
          <w:color w:val="000000"/>
        </w:rPr>
        <w:t xml:space="preserve"> Option 3 is supported, existing DL control structures (CORESET</w:t>
      </w:r>
      <w:r w:rsidR="00244018">
        <w:rPr>
          <w:i/>
          <w:color w:val="000000"/>
        </w:rPr>
        <w:t>s</w:t>
      </w:r>
      <w:r w:rsidR="005976E0" w:rsidRPr="00C53A37">
        <w:rPr>
          <w:i/>
          <w:color w:val="000000"/>
        </w:rPr>
        <w:t xml:space="preserve"> and search-spaces) can be reused with the following</w:t>
      </w:r>
      <w:r w:rsidR="00454ECB">
        <w:rPr>
          <w:i/>
          <w:color w:val="000000"/>
        </w:rPr>
        <w:t xml:space="preserve"> </w:t>
      </w:r>
      <w:r w:rsidR="005976E0" w:rsidRPr="00C53A37">
        <w:rPr>
          <w:i/>
          <w:color w:val="000000"/>
        </w:rPr>
        <w:t>modifications</w:t>
      </w:r>
      <w:r w:rsidR="001C193F">
        <w:rPr>
          <w:i/>
          <w:color w:val="000000"/>
        </w:rPr>
        <w:t>:</w:t>
      </w:r>
    </w:p>
    <w:p w14:paraId="12D18998" w14:textId="20483822" w:rsidR="005976E0" w:rsidRPr="00C53A37" w:rsidRDefault="005976E0" w:rsidP="00D7163D">
      <w:pPr>
        <w:pStyle w:val="ListParagraph"/>
        <w:numPr>
          <w:ilvl w:val="0"/>
          <w:numId w:val="11"/>
        </w:numPr>
        <w:jc w:val="both"/>
        <w:rPr>
          <w:i/>
          <w:color w:val="000000"/>
          <w:lang w:val="en-US"/>
        </w:rPr>
      </w:pPr>
      <w:r w:rsidRPr="00C53A37">
        <w:rPr>
          <w:i/>
          <w:color w:val="000000"/>
          <w:sz w:val="20"/>
          <w:szCs w:val="20"/>
          <w:lang w:val="en-US"/>
        </w:rPr>
        <w:t>CORESET configuration bit</w:t>
      </w:r>
      <w:r w:rsidR="00454ECB">
        <w:rPr>
          <w:i/>
          <w:color w:val="000000"/>
          <w:sz w:val="20"/>
          <w:szCs w:val="20"/>
          <w:lang w:val="en-US"/>
        </w:rPr>
        <w:t>map</w:t>
      </w:r>
      <w:r w:rsidRPr="00C53A37">
        <w:rPr>
          <w:i/>
          <w:color w:val="000000"/>
          <w:sz w:val="20"/>
          <w:szCs w:val="20"/>
          <w:lang w:val="en-US"/>
        </w:rPr>
        <w:t xml:space="preserve"> </w:t>
      </w:r>
      <w:r w:rsidR="00AE66BC">
        <w:rPr>
          <w:i/>
          <w:color w:val="000000"/>
          <w:sz w:val="20"/>
          <w:szCs w:val="20"/>
          <w:lang w:val="en-US"/>
        </w:rPr>
        <w:t>shall</w:t>
      </w:r>
      <w:r w:rsidRPr="00C53A37">
        <w:rPr>
          <w:i/>
          <w:color w:val="000000"/>
          <w:sz w:val="20"/>
          <w:szCs w:val="20"/>
          <w:lang w:val="en-US"/>
        </w:rPr>
        <w:t xml:space="preserve"> take into account the potential guard-bands and</w:t>
      </w:r>
      <w:r w:rsidR="00454ECB">
        <w:rPr>
          <w:i/>
          <w:color w:val="000000"/>
          <w:sz w:val="20"/>
          <w:szCs w:val="20"/>
          <w:lang w:val="en-US"/>
        </w:rPr>
        <w:t xml:space="preserve"> existing</w:t>
      </w:r>
      <w:r w:rsidRPr="00C53A37">
        <w:rPr>
          <w:i/>
          <w:color w:val="000000"/>
          <w:sz w:val="20"/>
          <w:szCs w:val="20"/>
          <w:lang w:val="en-US"/>
        </w:rPr>
        <w:t xml:space="preserve"> sub-band boundaries</w:t>
      </w:r>
      <w:r w:rsidR="00244018">
        <w:rPr>
          <w:i/>
          <w:color w:val="000000"/>
          <w:sz w:val="20"/>
          <w:szCs w:val="20"/>
          <w:lang w:val="en-US"/>
        </w:rPr>
        <w:t>.</w:t>
      </w:r>
    </w:p>
    <w:p w14:paraId="4625D990" w14:textId="0BD9CF15" w:rsidR="005976E0" w:rsidRPr="00733BA5" w:rsidRDefault="005976E0" w:rsidP="00D7163D">
      <w:pPr>
        <w:pStyle w:val="ListParagraph"/>
        <w:numPr>
          <w:ilvl w:val="0"/>
          <w:numId w:val="11"/>
        </w:numPr>
        <w:jc w:val="both"/>
        <w:rPr>
          <w:i/>
          <w:color w:val="000000"/>
          <w:lang w:val="en-US"/>
        </w:rPr>
      </w:pPr>
      <w:r w:rsidRPr="00C53A37">
        <w:rPr>
          <w:i/>
          <w:color w:val="000000"/>
          <w:sz w:val="20"/>
          <w:szCs w:val="20"/>
          <w:lang w:val="en-US"/>
        </w:rPr>
        <w:t>Search-space hashing operates</w:t>
      </w:r>
      <w:r w:rsidR="00454ECB" w:rsidRPr="00C53A37">
        <w:rPr>
          <w:i/>
          <w:color w:val="000000"/>
          <w:sz w:val="20"/>
          <w:szCs w:val="20"/>
          <w:lang w:val="en-US"/>
        </w:rPr>
        <w:t xml:space="preserve"> </w:t>
      </w:r>
      <w:r w:rsidR="00244018">
        <w:rPr>
          <w:i/>
          <w:color w:val="000000"/>
          <w:sz w:val="20"/>
          <w:szCs w:val="20"/>
          <w:lang w:val="en-US"/>
        </w:rPr>
        <w:t>on CCEs</w:t>
      </w:r>
      <w:r w:rsidR="00454ECB">
        <w:rPr>
          <w:i/>
          <w:color w:val="000000"/>
          <w:sz w:val="20"/>
          <w:szCs w:val="20"/>
          <w:lang w:val="en-US"/>
        </w:rPr>
        <w:t xml:space="preserve"> of a CORESET within each sub-band</w:t>
      </w:r>
      <w:r w:rsidR="00244018">
        <w:rPr>
          <w:i/>
          <w:color w:val="000000"/>
          <w:sz w:val="20"/>
          <w:szCs w:val="20"/>
          <w:lang w:val="en-US"/>
        </w:rPr>
        <w:t>.</w:t>
      </w:r>
      <w:r w:rsidRPr="00C53A37">
        <w:rPr>
          <w:i/>
          <w:color w:val="000000"/>
          <w:sz w:val="20"/>
          <w:szCs w:val="20"/>
          <w:lang w:val="en-US"/>
        </w:rPr>
        <w:t xml:space="preserve"> </w:t>
      </w:r>
    </w:p>
    <w:p w14:paraId="3DEA0968" w14:textId="11771219" w:rsidR="00733BA5" w:rsidRPr="00C53A37" w:rsidRDefault="00733BA5" w:rsidP="00733BA5">
      <w:pPr>
        <w:pStyle w:val="ListParagraph"/>
        <w:ind w:left="644"/>
        <w:jc w:val="both"/>
        <w:rPr>
          <w:i/>
          <w:color w:val="000000"/>
          <w:lang w:val="en-US"/>
        </w:rPr>
      </w:pPr>
    </w:p>
    <w:p w14:paraId="1A53158A" w14:textId="227FED44" w:rsidR="005976E0" w:rsidRDefault="005976E0" w:rsidP="00DA317A">
      <w:pPr>
        <w:jc w:val="both"/>
        <w:rPr>
          <w:color w:val="000000"/>
        </w:rPr>
      </w:pPr>
      <w:r>
        <w:rPr>
          <w:color w:val="000000"/>
        </w:rPr>
        <w:t xml:space="preserve">   </w:t>
      </w:r>
    </w:p>
    <w:p w14:paraId="351D0989" w14:textId="10F1ACC3" w:rsidR="00627991" w:rsidRPr="0048748C" w:rsidRDefault="00BB2939" w:rsidP="00BF0F3A">
      <w:pPr>
        <w:pStyle w:val="Heading2"/>
      </w:pPr>
      <w:r>
        <w:lastRenderedPageBreak/>
        <w:t xml:space="preserve">PUSCH and PDSCH scheduling and </w:t>
      </w:r>
      <w:r w:rsidR="00627991" w:rsidRPr="00BF0F3A">
        <w:t>HARQ</w:t>
      </w:r>
      <w:r w:rsidR="00627991" w:rsidRPr="0048748C">
        <w:t xml:space="preserve"> operation</w:t>
      </w:r>
    </w:p>
    <w:p w14:paraId="3603AB1B" w14:textId="77777777" w:rsidR="00627991" w:rsidRPr="003711D9" w:rsidRDefault="00627991" w:rsidP="00627991">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a</w:t>
      </w:r>
      <w:r w:rsidRPr="003711D9">
        <w:rPr>
          <w:lang w:val="en-US"/>
        </w:rPr>
        <w:t xml:space="preserve"> large </w:t>
      </w:r>
      <w:r>
        <w:rPr>
          <w:lang w:val="en-US"/>
        </w:rPr>
        <w:t xml:space="preserve">number of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beneficial. On the other hand, there are two challenges to overcome:</w:t>
      </w:r>
    </w:p>
    <w:p w14:paraId="45C7F896" w14:textId="77777777" w:rsidR="00627991" w:rsidRPr="002A468B" w:rsidRDefault="00627991" w:rsidP="00D7163D">
      <w:pPr>
        <w:pStyle w:val="ListParagraph"/>
        <w:numPr>
          <w:ilvl w:val="0"/>
          <w:numId w:val="8"/>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23985ACD" w14:textId="77777777" w:rsidR="00627991" w:rsidRPr="00D53D4C" w:rsidRDefault="00627991" w:rsidP="00D7163D">
      <w:pPr>
        <w:pStyle w:val="ListParagraph"/>
        <w:numPr>
          <w:ilvl w:val="0"/>
          <w:numId w:val="8"/>
        </w:numPr>
        <w:jc w:val="both"/>
        <w:rPr>
          <w:lang w:val="en-US"/>
        </w:rPr>
      </w:pPr>
      <w:r w:rsidRPr="00D53D4C">
        <w:rPr>
          <w:sz w:val="20"/>
          <w:szCs w:val="20"/>
          <w:lang w:val="en-US"/>
        </w:rPr>
        <w:t>Transmission preparation time at the UE. UE needs X microseconds to prepare a transmission. Preparation may include e.g.:</w:t>
      </w:r>
    </w:p>
    <w:p w14:paraId="26E028D1" w14:textId="77777777" w:rsidR="00627991" w:rsidRPr="00D53D4C" w:rsidRDefault="00627991" w:rsidP="00D7163D">
      <w:pPr>
        <w:pStyle w:val="ListParagraph"/>
        <w:numPr>
          <w:ilvl w:val="1"/>
          <w:numId w:val="8"/>
        </w:numPr>
        <w:jc w:val="both"/>
        <w:rPr>
          <w:lang w:val="en-US"/>
        </w:rPr>
      </w:pPr>
      <w:r w:rsidRPr="00D53D4C">
        <w:rPr>
          <w:sz w:val="20"/>
          <w:szCs w:val="20"/>
          <w:lang w:val="en-US"/>
        </w:rPr>
        <w:t>getting data from higher layers</w:t>
      </w:r>
    </w:p>
    <w:p w14:paraId="008A9233" w14:textId="77777777" w:rsidR="00627991" w:rsidRPr="00D53D4C" w:rsidRDefault="00627991" w:rsidP="00D7163D">
      <w:pPr>
        <w:pStyle w:val="ListParagraph"/>
        <w:numPr>
          <w:ilvl w:val="1"/>
          <w:numId w:val="8"/>
        </w:numPr>
        <w:jc w:val="both"/>
        <w:rPr>
          <w:lang w:val="en-US"/>
        </w:rPr>
      </w:pPr>
      <w:r w:rsidRPr="00D53D4C">
        <w:rPr>
          <w:sz w:val="20"/>
          <w:szCs w:val="20"/>
          <w:lang w:val="en-US"/>
        </w:rPr>
        <w:t>TBS determination</w:t>
      </w:r>
    </w:p>
    <w:p w14:paraId="5F1771D0" w14:textId="49079EC9" w:rsidR="00627991" w:rsidRPr="004F1117" w:rsidRDefault="00627991" w:rsidP="00D7163D">
      <w:pPr>
        <w:pStyle w:val="ListParagraph"/>
        <w:numPr>
          <w:ilvl w:val="1"/>
          <w:numId w:val="8"/>
        </w:numPr>
        <w:jc w:val="both"/>
        <w:rPr>
          <w:lang w:val="en-US"/>
        </w:rPr>
      </w:pPr>
      <w:r w:rsidRPr="00D53D4C">
        <w:rPr>
          <w:sz w:val="20"/>
          <w:szCs w:val="20"/>
          <w:lang w:val="en-US"/>
        </w:rPr>
        <w:t>channel coding</w:t>
      </w:r>
    </w:p>
    <w:p w14:paraId="44636980" w14:textId="45508FA0" w:rsidR="00C74A6D" w:rsidRPr="004F1117" w:rsidRDefault="00C74A6D" w:rsidP="00D7163D">
      <w:pPr>
        <w:pStyle w:val="ListParagraph"/>
        <w:numPr>
          <w:ilvl w:val="1"/>
          <w:numId w:val="8"/>
        </w:numPr>
        <w:jc w:val="both"/>
        <w:rPr>
          <w:lang w:val="en-US"/>
        </w:rPr>
      </w:pPr>
      <w:r>
        <w:rPr>
          <w:sz w:val="20"/>
          <w:szCs w:val="20"/>
          <w:lang w:val="en-US"/>
        </w:rPr>
        <w:t>rate matching</w:t>
      </w:r>
    </w:p>
    <w:p w14:paraId="52A1F166" w14:textId="758B4DA2" w:rsidR="00C74A6D" w:rsidRPr="004F1117" w:rsidRDefault="00C74A6D" w:rsidP="00D7163D">
      <w:pPr>
        <w:pStyle w:val="ListParagraph"/>
        <w:numPr>
          <w:ilvl w:val="1"/>
          <w:numId w:val="8"/>
        </w:numPr>
        <w:jc w:val="both"/>
        <w:rPr>
          <w:lang w:val="en-US"/>
        </w:rPr>
      </w:pPr>
      <w:r>
        <w:rPr>
          <w:sz w:val="20"/>
          <w:szCs w:val="20"/>
          <w:lang w:val="en-US"/>
        </w:rPr>
        <w:t>data and control multiplexing</w:t>
      </w:r>
    </w:p>
    <w:p w14:paraId="1356C21D" w14:textId="77777777" w:rsidR="00C74A6D" w:rsidRPr="00D53D4C" w:rsidRDefault="00C74A6D" w:rsidP="00C74A6D">
      <w:pPr>
        <w:pStyle w:val="ListParagraph"/>
        <w:numPr>
          <w:ilvl w:val="1"/>
          <w:numId w:val="8"/>
        </w:numPr>
        <w:jc w:val="both"/>
        <w:rPr>
          <w:lang w:val="en-US"/>
        </w:rPr>
      </w:pPr>
      <w:r>
        <w:rPr>
          <w:sz w:val="20"/>
          <w:szCs w:val="20"/>
          <w:lang w:val="en-US"/>
        </w:rPr>
        <w:t>modulation</w:t>
      </w:r>
    </w:p>
    <w:p w14:paraId="217616C0" w14:textId="24E25F61" w:rsidR="00627991" w:rsidRPr="004F1117" w:rsidRDefault="00627991" w:rsidP="00D7163D">
      <w:pPr>
        <w:pStyle w:val="ListParagraph"/>
        <w:numPr>
          <w:ilvl w:val="1"/>
          <w:numId w:val="8"/>
        </w:numPr>
        <w:jc w:val="both"/>
        <w:rPr>
          <w:lang w:val="en-US"/>
        </w:rPr>
      </w:pPr>
      <w:r w:rsidRPr="00D53D4C">
        <w:rPr>
          <w:sz w:val="20"/>
          <w:szCs w:val="20"/>
          <w:lang w:val="en-US"/>
        </w:rPr>
        <w:t>RE mapping</w:t>
      </w:r>
    </w:p>
    <w:p w14:paraId="4A538F0D" w14:textId="77777777" w:rsidR="00627991" w:rsidRPr="00D53D4C" w:rsidRDefault="00627991" w:rsidP="00D7163D">
      <w:pPr>
        <w:pStyle w:val="ListParagraph"/>
        <w:numPr>
          <w:ilvl w:val="1"/>
          <w:numId w:val="8"/>
        </w:numPr>
        <w:jc w:val="both"/>
        <w:rPr>
          <w:lang w:val="en-US"/>
        </w:rPr>
      </w:pPr>
      <w:r w:rsidRPr="00D53D4C">
        <w:rPr>
          <w:sz w:val="20"/>
          <w:szCs w:val="20"/>
          <w:lang w:val="en-US"/>
        </w:rPr>
        <w:t>iFFT</w:t>
      </w:r>
    </w:p>
    <w:p w14:paraId="02A3D49F" w14:textId="00A52D31" w:rsidR="00627991" w:rsidRPr="00D53D4C" w:rsidRDefault="00627991" w:rsidP="00D7163D">
      <w:pPr>
        <w:pStyle w:val="ListParagraph"/>
        <w:numPr>
          <w:ilvl w:val="1"/>
          <w:numId w:val="8"/>
        </w:numPr>
        <w:jc w:val="both"/>
        <w:rPr>
          <w:lang w:val="en-US"/>
        </w:rPr>
      </w:pPr>
      <w:r w:rsidRPr="00D53D4C">
        <w:rPr>
          <w:sz w:val="20"/>
          <w:szCs w:val="20"/>
          <w:lang w:val="en-US"/>
        </w:rPr>
        <w:t>digital filtering and/or RF retuning</w:t>
      </w:r>
      <w:r w:rsidR="00C74A6D">
        <w:rPr>
          <w:sz w:val="20"/>
          <w:szCs w:val="20"/>
          <w:lang w:val="en-US"/>
        </w:rPr>
        <w:t>.</w:t>
      </w:r>
      <w:r w:rsidRPr="00D53D4C">
        <w:rPr>
          <w:sz w:val="20"/>
          <w:szCs w:val="20"/>
          <w:lang w:val="en-US"/>
        </w:rPr>
        <w:t xml:space="preserve"> </w:t>
      </w:r>
    </w:p>
    <w:p w14:paraId="622084A4" w14:textId="77777777" w:rsidR="00627991" w:rsidRDefault="00627991" w:rsidP="00627991">
      <w:pPr>
        <w:spacing w:after="0"/>
        <w:jc w:val="both"/>
        <w:rPr>
          <w:lang w:val="en-US"/>
        </w:rPr>
      </w:pPr>
    </w:p>
    <w:p w14:paraId="59FB2117" w14:textId="0B45CC9F" w:rsidR="00BA7129" w:rsidRDefault="00BA7129" w:rsidP="00627991">
      <w:pPr>
        <w:spacing w:after="0"/>
        <w:jc w:val="both"/>
        <w:rPr>
          <w:lang w:val="en-US"/>
        </w:rPr>
      </w:pPr>
      <w:r>
        <w:rPr>
          <w:lang w:val="en-US"/>
        </w:rPr>
        <w:t>In addition, RAN1#94b agreed:</w:t>
      </w:r>
    </w:p>
    <w:p w14:paraId="55EA2ED3" w14:textId="77777777" w:rsidR="00BA7129" w:rsidRPr="00CB0335" w:rsidRDefault="00BA7129" w:rsidP="00BA7129">
      <w:pPr>
        <w:spacing w:after="0"/>
        <w:rPr>
          <w:lang w:eastAsia="x-none"/>
        </w:rPr>
      </w:pPr>
      <w:r w:rsidRPr="00CB0335">
        <w:rPr>
          <w:highlight w:val="green"/>
          <w:lang w:eastAsia="x-none"/>
        </w:rPr>
        <w:t>Agreement:</w:t>
      </w:r>
      <w:r w:rsidRPr="00CB0335">
        <w:rPr>
          <w:lang w:eastAsia="x-none"/>
        </w:rPr>
        <w:t xml:space="preserve"> </w:t>
      </w:r>
    </w:p>
    <w:p w14:paraId="14132AE6" w14:textId="77777777" w:rsidR="00BA7129" w:rsidRPr="00570E47" w:rsidRDefault="00BA7129" w:rsidP="00C5744D">
      <w:pPr>
        <w:ind w:left="284"/>
        <w:rPr>
          <w:i/>
          <w:lang w:val="en-US" w:eastAsia="x-none"/>
        </w:rPr>
      </w:pPr>
      <w:r w:rsidRPr="00594735">
        <w:rPr>
          <w:i/>
          <w:lang w:val="en-US"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2EAA4A1E" w14:textId="77777777" w:rsidR="00BA7129" w:rsidRDefault="00BA7129" w:rsidP="00627991">
      <w:pPr>
        <w:spacing w:after="0"/>
        <w:jc w:val="both"/>
        <w:rPr>
          <w:lang w:val="en-US"/>
        </w:rPr>
      </w:pPr>
    </w:p>
    <w:p w14:paraId="36E62A89" w14:textId="2904BAEB" w:rsidR="00066AC0" w:rsidRDefault="00627991" w:rsidP="00627991">
      <w:pPr>
        <w:spacing w:after="0"/>
        <w:jc w:val="both"/>
        <w:rPr>
          <w:lang w:val="en-US"/>
        </w:rPr>
      </w:pPr>
      <w:r w:rsidRPr="00D53D4C">
        <w:rPr>
          <w:lang w:val="en-US"/>
        </w:rPr>
        <w:t xml:space="preserve">Therefore, we think </w:t>
      </w:r>
      <w:r w:rsidR="00454ECB">
        <w:rPr>
          <w:lang w:val="en-US"/>
        </w:rPr>
        <w:t>that in the first/partial slot</w:t>
      </w:r>
      <w:r w:rsidR="00D01680">
        <w:rPr>
          <w:lang w:val="en-US"/>
        </w:rPr>
        <w:t xml:space="preserve"> of a COT</w:t>
      </w:r>
      <w:r w:rsidR="00454ECB">
        <w:rPr>
          <w:lang w:val="en-US"/>
        </w:rPr>
        <w:t>, the UE could transmit</w:t>
      </w:r>
      <w:r w:rsidR="00D01680">
        <w:rPr>
          <w:lang w:val="en-US"/>
        </w:rPr>
        <w:t>/receive</w:t>
      </w:r>
      <w:r w:rsidR="00454ECB">
        <w:rPr>
          <w:lang w:val="en-US"/>
        </w:rPr>
        <w:t xml:space="preserve"> one TB per sub-band, and if scheduled for multiple slots</w:t>
      </w:r>
      <w:r w:rsidR="00D01680">
        <w:rPr>
          <w:lang w:val="en-US"/>
        </w:rPr>
        <w:t>, in the later slots</w:t>
      </w:r>
      <w:r w:rsidR="00454ECB">
        <w:rPr>
          <w:lang w:val="en-US"/>
        </w:rPr>
        <w:t xml:space="preserve"> TB</w:t>
      </w:r>
      <w:r w:rsidR="006F0024">
        <w:rPr>
          <w:lang w:val="en-US"/>
        </w:rPr>
        <w:t xml:space="preserve"> may</w:t>
      </w:r>
      <w:r w:rsidR="00454ECB">
        <w:rPr>
          <w:lang w:val="en-US"/>
        </w:rPr>
        <w:t xml:space="preserve"> span over entire BWP. </w:t>
      </w:r>
    </w:p>
    <w:p w14:paraId="05541767" w14:textId="77777777" w:rsidR="00066AC0" w:rsidRDefault="00066AC0" w:rsidP="00627991">
      <w:pPr>
        <w:spacing w:after="0"/>
        <w:jc w:val="both"/>
        <w:rPr>
          <w:lang w:val="en-US"/>
        </w:rPr>
      </w:pPr>
    </w:p>
    <w:p w14:paraId="1A3F4E77" w14:textId="77777777" w:rsidR="006868C1" w:rsidRDefault="003F41DF" w:rsidP="00627991">
      <w:pPr>
        <w:spacing w:after="0"/>
        <w:jc w:val="both"/>
        <w:rPr>
          <w:lang w:val="en-US"/>
        </w:rPr>
      </w:pPr>
      <w:r w:rsidRPr="003F41DF">
        <w:rPr>
          <w:b/>
          <w:u w:val="single"/>
          <w:lang w:val="en-US"/>
        </w:rPr>
        <w:t>For</w:t>
      </w:r>
      <w:r w:rsidR="00066AC0" w:rsidRPr="003F41DF">
        <w:rPr>
          <w:b/>
          <w:u w:val="single"/>
          <w:lang w:val="en-US"/>
        </w:rPr>
        <w:t xml:space="preserve"> separate</w:t>
      </w:r>
      <w:r w:rsidRPr="003F41DF">
        <w:rPr>
          <w:b/>
          <w:u w:val="single"/>
          <w:lang w:val="en-US"/>
        </w:rPr>
        <w:t xml:space="preserve"> gNB and UE</w:t>
      </w:r>
      <w:r w:rsidR="00066AC0" w:rsidRPr="003F41DF">
        <w:rPr>
          <w:b/>
          <w:u w:val="single"/>
          <w:lang w:val="en-US"/>
        </w:rPr>
        <w:t xml:space="preserve"> COTs</w:t>
      </w:r>
      <w:r>
        <w:rPr>
          <w:lang w:val="en-US"/>
        </w:rPr>
        <w:t>:</w:t>
      </w:r>
      <w:r w:rsidR="00AD69EF">
        <w:rPr>
          <w:lang w:val="en-US"/>
        </w:rPr>
        <w:t xml:space="preserve"> </w:t>
      </w:r>
      <w:r>
        <w:rPr>
          <w:lang w:val="en-US"/>
        </w:rPr>
        <w:t>an example</w:t>
      </w:r>
      <w:r w:rsidR="007435FA">
        <w:rPr>
          <w:lang w:val="en-US"/>
        </w:rPr>
        <w:t xml:space="preserve"> of operation</w:t>
      </w:r>
      <w:r>
        <w:rPr>
          <w:lang w:val="en-US"/>
        </w:rPr>
        <w:t xml:space="preserve"> is</w:t>
      </w:r>
      <w:r w:rsidR="00066AC0">
        <w:rPr>
          <w:lang w:val="en-US"/>
        </w:rPr>
        <w:t xml:space="preserve"> </w:t>
      </w:r>
      <w:r>
        <w:rPr>
          <w:lang w:val="en-US"/>
        </w:rPr>
        <w:t>illustrated in</w:t>
      </w:r>
      <w:r w:rsidR="00066AC0">
        <w:rPr>
          <w:lang w:val="en-US"/>
        </w:rPr>
        <w:t xml:space="preserve"> Figure 3. </w:t>
      </w:r>
    </w:p>
    <w:p w14:paraId="321D72D5" w14:textId="41276B71" w:rsidR="006868C1" w:rsidRPr="006868C1" w:rsidRDefault="00066AC0" w:rsidP="00B70DFD">
      <w:pPr>
        <w:pStyle w:val="ListParagraph"/>
        <w:numPr>
          <w:ilvl w:val="0"/>
          <w:numId w:val="15"/>
        </w:numPr>
        <w:jc w:val="both"/>
        <w:rPr>
          <w:sz w:val="20"/>
          <w:lang w:val="en-US"/>
        </w:rPr>
      </w:pPr>
      <w:r w:rsidRPr="006868C1">
        <w:rPr>
          <w:sz w:val="20"/>
          <w:lang w:val="en-US"/>
        </w:rPr>
        <w:t xml:space="preserve">In DL, as discussed </w:t>
      </w:r>
      <w:r w:rsidRPr="007027E0">
        <w:rPr>
          <w:sz w:val="20"/>
          <w:lang w:val="en-US"/>
        </w:rPr>
        <w:t>in Section 2.1, the</w:t>
      </w:r>
      <w:r w:rsidRPr="006868C1">
        <w:rPr>
          <w:sz w:val="20"/>
          <w:lang w:val="en-US"/>
        </w:rPr>
        <w:t xml:space="preserve"> hashing is per sub-band. </w:t>
      </w:r>
      <w:r w:rsidR="00F47FD1" w:rsidRPr="006868C1">
        <w:rPr>
          <w:sz w:val="20"/>
          <w:lang w:val="en-US"/>
        </w:rPr>
        <w:t>In Pre-COT phase</w:t>
      </w:r>
      <w:r w:rsidR="004F1117">
        <w:rPr>
          <w:sz w:val="20"/>
          <w:lang w:val="en-US"/>
        </w:rPr>
        <w:t xml:space="preserve"> </w:t>
      </w:r>
      <w:r w:rsidR="004F1117">
        <w:rPr>
          <w:sz w:val="20"/>
          <w:lang w:val="en-US"/>
        </w:rPr>
        <w:fldChar w:fldCharType="begin"/>
      </w:r>
      <w:r w:rsidR="004F1117">
        <w:rPr>
          <w:sz w:val="20"/>
          <w:lang w:val="en-US"/>
        </w:rPr>
        <w:instrText xml:space="preserve"> REF _Ref534830442 \r \h </w:instrText>
      </w:r>
      <w:r w:rsidR="004F1117">
        <w:rPr>
          <w:sz w:val="20"/>
          <w:lang w:val="en-US"/>
        </w:rPr>
      </w:r>
      <w:r w:rsidR="004F1117">
        <w:rPr>
          <w:sz w:val="20"/>
          <w:lang w:val="en-US"/>
        </w:rPr>
        <w:fldChar w:fldCharType="separate"/>
      </w:r>
      <w:r w:rsidR="004F1117">
        <w:rPr>
          <w:sz w:val="20"/>
          <w:lang w:val="en-US"/>
        </w:rPr>
        <w:t>[10]</w:t>
      </w:r>
      <w:r w:rsidR="004F1117">
        <w:rPr>
          <w:sz w:val="20"/>
          <w:lang w:val="en-US"/>
        </w:rPr>
        <w:fldChar w:fldCharType="end"/>
      </w:r>
      <w:r w:rsidR="00F47FD1" w:rsidRPr="006868C1">
        <w:rPr>
          <w:sz w:val="20"/>
          <w:lang w:val="en-US"/>
        </w:rPr>
        <w:t xml:space="preserve">, UE monitors for initial signal in all sub-bands. </w:t>
      </w:r>
      <w:r w:rsidR="007435FA" w:rsidRPr="006868C1">
        <w:rPr>
          <w:sz w:val="20"/>
          <w:lang w:val="en-US"/>
        </w:rPr>
        <w:t>A</w:t>
      </w:r>
      <w:r w:rsidR="003F41DF" w:rsidRPr="006868C1">
        <w:rPr>
          <w:sz w:val="20"/>
          <w:lang w:val="en-US"/>
        </w:rPr>
        <w:t>fter LBT</w:t>
      </w:r>
      <w:r w:rsidR="006868C1" w:rsidRPr="006868C1">
        <w:rPr>
          <w:sz w:val="20"/>
          <w:lang w:val="en-US"/>
        </w:rPr>
        <w:t xml:space="preserve"> a gNB</w:t>
      </w:r>
      <w:r w:rsidR="007435FA" w:rsidRPr="006868C1">
        <w:rPr>
          <w:sz w:val="20"/>
          <w:lang w:val="en-US"/>
        </w:rPr>
        <w:t xml:space="preserve"> </w:t>
      </w:r>
      <w:r w:rsidR="006868C1" w:rsidRPr="006868C1">
        <w:rPr>
          <w:sz w:val="20"/>
          <w:lang w:val="en-US"/>
        </w:rPr>
        <w:t>transmits initial signal on sub-bands</w:t>
      </w:r>
      <w:r w:rsidR="006868C1">
        <w:rPr>
          <w:sz w:val="20"/>
          <w:lang w:val="en-US"/>
        </w:rPr>
        <w:t xml:space="preserve"> #0-#2</w:t>
      </w:r>
      <w:r w:rsidR="007435FA" w:rsidRPr="006868C1">
        <w:rPr>
          <w:sz w:val="20"/>
          <w:lang w:val="en-US"/>
        </w:rPr>
        <w:t>. A UE</w:t>
      </w:r>
      <w:r w:rsidR="006868C1" w:rsidRPr="006868C1">
        <w:rPr>
          <w:sz w:val="20"/>
          <w:lang w:val="en-US"/>
        </w:rPr>
        <w:t>,</w:t>
      </w:r>
      <w:r w:rsidR="007435FA" w:rsidRPr="006868C1">
        <w:rPr>
          <w:sz w:val="20"/>
          <w:lang w:val="en-US"/>
        </w:rPr>
        <w:t xml:space="preserve"> based on </w:t>
      </w:r>
      <w:r w:rsidR="006868C1" w:rsidRPr="006868C1">
        <w:rPr>
          <w:sz w:val="20"/>
          <w:lang w:val="en-US"/>
        </w:rPr>
        <w:t>initial signal</w:t>
      </w:r>
      <w:r w:rsidR="007435FA" w:rsidRPr="006868C1">
        <w:rPr>
          <w:sz w:val="20"/>
          <w:lang w:val="en-US"/>
        </w:rPr>
        <w:t xml:space="preserve"> identifies gNB’s Tx BW and </w:t>
      </w:r>
      <w:r w:rsidR="003F41DF" w:rsidRPr="006868C1">
        <w:rPr>
          <w:sz w:val="20"/>
          <w:lang w:val="en-US"/>
        </w:rPr>
        <w:t xml:space="preserve">monitors </w:t>
      </w:r>
      <w:r w:rsidR="006868C1" w:rsidRPr="006868C1">
        <w:rPr>
          <w:sz w:val="20"/>
          <w:lang w:val="en-US"/>
        </w:rPr>
        <w:t xml:space="preserve">PDCCH candidates in the </w:t>
      </w:r>
      <w:r w:rsidR="007435FA" w:rsidRPr="006868C1">
        <w:rPr>
          <w:sz w:val="20"/>
          <w:lang w:val="en-US"/>
        </w:rPr>
        <w:t>corresponding</w:t>
      </w:r>
      <w:r w:rsidR="003F41DF" w:rsidRPr="006868C1">
        <w:rPr>
          <w:sz w:val="20"/>
          <w:lang w:val="en-US"/>
        </w:rPr>
        <w:t xml:space="preserve"> sub-bands.</w:t>
      </w:r>
      <w:r w:rsidR="00AD69EF" w:rsidRPr="006868C1">
        <w:rPr>
          <w:sz w:val="20"/>
          <w:lang w:val="en-US"/>
        </w:rPr>
        <w:t xml:space="preserve"> </w:t>
      </w:r>
    </w:p>
    <w:p w14:paraId="148D8038" w14:textId="587DE2B8" w:rsidR="00627991" w:rsidRPr="006868C1" w:rsidRDefault="00AD69EF" w:rsidP="00B70DFD">
      <w:pPr>
        <w:pStyle w:val="ListParagraph"/>
        <w:numPr>
          <w:ilvl w:val="0"/>
          <w:numId w:val="15"/>
        </w:numPr>
        <w:jc w:val="both"/>
        <w:rPr>
          <w:sz w:val="22"/>
          <w:lang w:val="en-US"/>
        </w:rPr>
      </w:pPr>
      <w:r w:rsidRPr="006868C1">
        <w:rPr>
          <w:sz w:val="20"/>
          <w:lang w:val="en-US"/>
        </w:rPr>
        <w:t xml:space="preserve">In UL, </w:t>
      </w:r>
      <w:r w:rsidR="006868C1" w:rsidRPr="006868C1">
        <w:rPr>
          <w:sz w:val="20"/>
          <w:lang w:val="en-US"/>
        </w:rPr>
        <w:t>a UE receives</w:t>
      </w:r>
      <w:r w:rsidR="006868C1">
        <w:rPr>
          <w:sz w:val="20"/>
          <w:lang w:val="en-US"/>
        </w:rPr>
        <w:t xml:space="preserve"> an</w:t>
      </w:r>
      <w:r w:rsidR="006868C1" w:rsidRPr="006868C1">
        <w:rPr>
          <w:sz w:val="20"/>
          <w:lang w:val="en-US"/>
        </w:rPr>
        <w:t xml:space="preserve"> UL grant for full BWP, based on LBT</w:t>
      </w:r>
      <w:r w:rsidR="006868C1">
        <w:rPr>
          <w:sz w:val="20"/>
          <w:lang w:val="en-US"/>
        </w:rPr>
        <w:t>,</w:t>
      </w:r>
      <w:r w:rsidR="006868C1" w:rsidRPr="006868C1">
        <w:rPr>
          <w:sz w:val="20"/>
          <w:lang w:val="en-US"/>
        </w:rPr>
        <w:t xml:space="preserve"> </w:t>
      </w:r>
      <w:r w:rsidR="006868C1">
        <w:rPr>
          <w:sz w:val="20"/>
          <w:lang w:val="en-US"/>
        </w:rPr>
        <w:t>the UE transmits separate PUSCH in sub-bands #1-#3</w:t>
      </w:r>
      <w:r w:rsidR="00C329FF">
        <w:rPr>
          <w:sz w:val="20"/>
          <w:lang w:val="en-US"/>
        </w:rPr>
        <w:t xml:space="preserve"> i</w:t>
      </w:r>
      <w:r w:rsidR="00C329FF" w:rsidRPr="006868C1">
        <w:rPr>
          <w:sz w:val="20"/>
          <w:lang w:val="en-US"/>
        </w:rPr>
        <w:t xml:space="preserve">n </w:t>
      </w:r>
      <w:r w:rsidR="00C329FF">
        <w:rPr>
          <w:sz w:val="20"/>
          <w:lang w:val="en-US"/>
        </w:rPr>
        <w:t xml:space="preserve">a </w:t>
      </w:r>
      <w:r w:rsidR="004F1117">
        <w:rPr>
          <w:sz w:val="20"/>
          <w:lang w:val="en-US"/>
        </w:rPr>
        <w:t>sub-slot</w:t>
      </w:r>
      <w:r w:rsidR="00C329FF" w:rsidRPr="006868C1">
        <w:rPr>
          <w:sz w:val="20"/>
          <w:lang w:val="en-US"/>
        </w:rPr>
        <w:t xml:space="preserve"> phase</w:t>
      </w:r>
      <w:r w:rsidR="004F1117">
        <w:rPr>
          <w:sz w:val="20"/>
          <w:lang w:val="en-US"/>
        </w:rPr>
        <w:t xml:space="preserve"> </w:t>
      </w:r>
      <w:r w:rsidR="004F1117">
        <w:rPr>
          <w:sz w:val="20"/>
          <w:lang w:val="en-US"/>
        </w:rPr>
        <w:fldChar w:fldCharType="begin"/>
      </w:r>
      <w:r w:rsidR="004F1117">
        <w:rPr>
          <w:sz w:val="20"/>
          <w:lang w:val="en-US"/>
        </w:rPr>
        <w:instrText xml:space="preserve"> REF _Ref534830442 \r \h </w:instrText>
      </w:r>
      <w:r w:rsidR="004F1117">
        <w:rPr>
          <w:sz w:val="20"/>
          <w:lang w:val="en-US"/>
        </w:rPr>
      </w:r>
      <w:r w:rsidR="004F1117">
        <w:rPr>
          <w:sz w:val="20"/>
          <w:lang w:val="en-US"/>
        </w:rPr>
        <w:fldChar w:fldCharType="separate"/>
      </w:r>
      <w:r w:rsidR="004F1117">
        <w:rPr>
          <w:sz w:val="20"/>
          <w:lang w:val="en-US"/>
        </w:rPr>
        <w:t>[10]</w:t>
      </w:r>
      <w:r w:rsidR="004F1117">
        <w:rPr>
          <w:sz w:val="20"/>
          <w:lang w:val="en-US"/>
        </w:rPr>
        <w:fldChar w:fldCharType="end"/>
      </w:r>
      <w:r w:rsidR="006868C1">
        <w:rPr>
          <w:sz w:val="20"/>
          <w:lang w:val="en-US"/>
        </w:rPr>
        <w:t xml:space="preserve">, and single PUSCH </w:t>
      </w:r>
      <w:r w:rsidR="00A4127D">
        <w:rPr>
          <w:sz w:val="20"/>
          <w:lang w:val="en-US"/>
        </w:rPr>
        <w:t>over multiple sub-bands in the following slots</w:t>
      </w:r>
      <w:r w:rsidR="006868C1">
        <w:rPr>
          <w:sz w:val="20"/>
          <w:lang w:val="en-US"/>
        </w:rPr>
        <w:t>. T</w:t>
      </w:r>
      <w:r w:rsidRPr="006868C1">
        <w:rPr>
          <w:sz w:val="20"/>
          <w:lang w:val="en-US"/>
        </w:rPr>
        <w:t xml:space="preserve">he </w:t>
      </w:r>
      <w:r w:rsidR="00F47FD1" w:rsidRPr="006868C1">
        <w:rPr>
          <w:sz w:val="20"/>
          <w:lang w:val="en-US"/>
        </w:rPr>
        <w:t>mapping of HARQ process to PUSCH</w:t>
      </w:r>
      <w:r w:rsidR="00A4127D">
        <w:rPr>
          <w:sz w:val="20"/>
          <w:lang w:val="en-US"/>
        </w:rPr>
        <w:t xml:space="preserve"> would</w:t>
      </w:r>
      <w:r w:rsidRPr="006868C1">
        <w:rPr>
          <w:sz w:val="20"/>
          <w:lang w:val="en-US"/>
        </w:rPr>
        <w:t xml:space="preserve"> depend on the outcome of </w:t>
      </w:r>
      <w:r w:rsidR="0049468D" w:rsidRPr="006868C1">
        <w:rPr>
          <w:sz w:val="20"/>
          <w:lang w:val="en-US"/>
        </w:rPr>
        <w:t>LBT (</w:t>
      </w:r>
      <w:r w:rsidR="00F47FD1" w:rsidRPr="006868C1">
        <w:rPr>
          <w:sz w:val="20"/>
          <w:lang w:val="en-US"/>
        </w:rPr>
        <w:t xml:space="preserve">see </w:t>
      </w:r>
      <w:r w:rsidR="0049468D" w:rsidRPr="006868C1">
        <w:rPr>
          <w:sz w:val="20"/>
          <w:lang w:val="en-US"/>
        </w:rPr>
        <w:t xml:space="preserve">#x in green blocks). </w:t>
      </w:r>
      <w:r w:rsidR="00A4127D">
        <w:rPr>
          <w:sz w:val="20"/>
          <w:lang w:val="en-US"/>
        </w:rPr>
        <w:t>After UE transmit the first partial slot, a</w:t>
      </w:r>
      <w:r w:rsidR="006868C1">
        <w:rPr>
          <w:sz w:val="20"/>
          <w:lang w:val="en-US"/>
        </w:rPr>
        <w:t xml:space="preserve"> </w:t>
      </w:r>
      <w:r w:rsidR="0049468D" w:rsidRPr="006868C1">
        <w:rPr>
          <w:sz w:val="20"/>
          <w:lang w:val="en-US"/>
        </w:rPr>
        <w:t xml:space="preserve">gNB </w:t>
      </w:r>
      <w:r w:rsidR="006868C1">
        <w:rPr>
          <w:sz w:val="20"/>
          <w:lang w:val="en-US"/>
        </w:rPr>
        <w:t xml:space="preserve">can </w:t>
      </w:r>
      <w:r w:rsidR="0049468D" w:rsidRPr="006868C1">
        <w:rPr>
          <w:sz w:val="20"/>
          <w:lang w:val="en-US"/>
        </w:rPr>
        <w:t>detect the UEs Tx BWP, based on front-loaded DMRS, which would ens</w:t>
      </w:r>
      <w:r w:rsidR="006868C1">
        <w:rPr>
          <w:sz w:val="20"/>
          <w:lang w:val="en-US"/>
        </w:rPr>
        <w:t>ure common HARQ-process-mapping understanding</w:t>
      </w:r>
      <w:r w:rsidR="0049468D" w:rsidRPr="006868C1">
        <w:rPr>
          <w:sz w:val="20"/>
          <w:lang w:val="en-US"/>
        </w:rPr>
        <w:t xml:space="preserve"> between UE and gNB.</w:t>
      </w:r>
      <w:r w:rsidR="0049468D" w:rsidRPr="006868C1">
        <w:rPr>
          <w:sz w:val="22"/>
          <w:lang w:val="en-US"/>
        </w:rPr>
        <w:t xml:space="preserve"> </w:t>
      </w:r>
    </w:p>
    <w:p w14:paraId="3507D358" w14:textId="075803FA" w:rsidR="001C700D" w:rsidRDefault="001C700D" w:rsidP="00627991">
      <w:pPr>
        <w:spacing w:after="0"/>
        <w:jc w:val="both"/>
        <w:rPr>
          <w:lang w:val="en-US"/>
        </w:rPr>
      </w:pPr>
    </w:p>
    <w:p w14:paraId="569D37A1" w14:textId="686C02F6" w:rsidR="006955E9" w:rsidRDefault="006955E9" w:rsidP="00627991">
      <w:pPr>
        <w:spacing w:after="0"/>
        <w:jc w:val="both"/>
        <w:rPr>
          <w:lang w:val="en-US"/>
        </w:rPr>
      </w:pPr>
    </w:p>
    <w:p w14:paraId="12BA91A7" w14:textId="77777777" w:rsidR="006955E9" w:rsidRDefault="006955E9" w:rsidP="00627991">
      <w:pPr>
        <w:spacing w:after="0"/>
        <w:jc w:val="both"/>
        <w:rPr>
          <w:lang w:val="en-US"/>
        </w:rPr>
      </w:pPr>
    </w:p>
    <w:p w14:paraId="622142EE" w14:textId="37DB00EA" w:rsidR="00066AC0" w:rsidRDefault="002C6B2A" w:rsidP="00066AC0">
      <w:pPr>
        <w:keepNext/>
        <w:spacing w:after="0"/>
        <w:jc w:val="center"/>
      </w:pPr>
      <w:r>
        <w:object w:dxaOrig="8985" w:dyaOrig="6900" w14:anchorId="4CE01BC3">
          <v:shape id="_x0000_i1027" type="#_x0000_t75" style="width:270.25pt;height:207.95pt" o:ole="">
            <v:imagedata r:id="rId17" o:title=""/>
          </v:shape>
          <o:OLEObject Type="Embed" ProgID="Visio.Drawing.11" ShapeID="_x0000_i1027" DrawAspect="Content" ObjectID="_1608741250" r:id="rId18"/>
        </w:object>
      </w:r>
    </w:p>
    <w:p w14:paraId="5BA6B016" w14:textId="48EB5C79" w:rsidR="001C700D" w:rsidRDefault="00066AC0" w:rsidP="00066AC0">
      <w:pPr>
        <w:pStyle w:val="Caption"/>
        <w:jc w:val="center"/>
        <w:rPr>
          <w:lang w:val="en-US"/>
        </w:rPr>
      </w:pPr>
      <w:r>
        <w:t xml:space="preserve">Figure </w:t>
      </w:r>
      <w:r>
        <w:fldChar w:fldCharType="begin"/>
      </w:r>
      <w:r>
        <w:instrText xml:space="preserve"> SEQ Figure \* ARABIC </w:instrText>
      </w:r>
      <w:r>
        <w:fldChar w:fldCharType="separate"/>
      </w:r>
      <w:r w:rsidR="00AD69EF">
        <w:rPr>
          <w:noProof/>
        </w:rPr>
        <w:t>3</w:t>
      </w:r>
      <w:r>
        <w:fldChar w:fldCharType="end"/>
      </w:r>
      <w:r>
        <w:t xml:space="preserve"> An example of separate gNB and UE COT</w:t>
      </w:r>
    </w:p>
    <w:p w14:paraId="2C6F3182" w14:textId="77777777" w:rsidR="001C700D" w:rsidRPr="00D53D4C" w:rsidRDefault="001C700D" w:rsidP="00627991">
      <w:pPr>
        <w:spacing w:after="0"/>
        <w:jc w:val="both"/>
        <w:rPr>
          <w:lang w:val="en-US"/>
        </w:rPr>
      </w:pPr>
    </w:p>
    <w:p w14:paraId="137C9965" w14:textId="68CB0398" w:rsidR="00627991" w:rsidRDefault="00627991" w:rsidP="00627991">
      <w:pPr>
        <w:spacing w:after="0"/>
        <w:jc w:val="both"/>
        <w:rPr>
          <w:b/>
          <w:lang w:val="en-US"/>
        </w:rPr>
      </w:pPr>
    </w:p>
    <w:p w14:paraId="580F1DA2" w14:textId="5D15B614" w:rsidR="003F41DF" w:rsidRPr="002B42AA" w:rsidRDefault="003F41DF" w:rsidP="003F41DF">
      <w:pPr>
        <w:jc w:val="both"/>
        <w:rPr>
          <w:rFonts w:cs="Arial"/>
          <w:color w:val="000000" w:themeColor="text1"/>
        </w:rPr>
      </w:pPr>
      <w:r w:rsidRPr="003F41DF">
        <w:rPr>
          <w:rFonts w:cs="Arial"/>
          <w:b/>
          <w:color w:val="000000" w:themeColor="text1"/>
          <w:u w:val="single"/>
          <w:lang w:val="en-US"/>
        </w:rPr>
        <w:t>For the shared gNB COT:</w:t>
      </w:r>
      <w:r>
        <w:rPr>
          <w:rFonts w:cs="Arial"/>
          <w:color w:val="000000" w:themeColor="text1"/>
          <w:lang w:val="en-US"/>
        </w:rPr>
        <w:t xml:space="preserve"> </w:t>
      </w:r>
      <w:r>
        <w:rPr>
          <w:rFonts w:cs="Arial"/>
          <w:color w:val="000000" w:themeColor="text1"/>
        </w:rPr>
        <w:t>f</w:t>
      </w:r>
      <w:r w:rsidRPr="002B42AA">
        <w:rPr>
          <w:rFonts w:cs="Arial"/>
          <w:color w:val="000000" w:themeColor="text1"/>
        </w:rPr>
        <w:t>rom UL transmission point of view</w:t>
      </w:r>
      <w:r>
        <w:rPr>
          <w:rFonts w:cs="Arial"/>
          <w:color w:val="000000" w:themeColor="text1"/>
        </w:rPr>
        <w:t>, there are</w:t>
      </w:r>
      <w:r w:rsidRPr="002B42AA">
        <w:rPr>
          <w:rFonts w:cs="Arial"/>
          <w:color w:val="000000" w:themeColor="text1"/>
        </w:rPr>
        <w:t xml:space="preserve"> </w:t>
      </w:r>
      <w:r>
        <w:rPr>
          <w:rFonts w:cs="Arial"/>
          <w:color w:val="000000" w:themeColor="text1"/>
        </w:rPr>
        <w:t>further</w:t>
      </w:r>
      <w:r w:rsidRPr="002B42AA">
        <w:rPr>
          <w:rFonts w:cs="Arial"/>
          <w:color w:val="000000" w:themeColor="text1"/>
        </w:rPr>
        <w:t xml:space="preserve"> </w:t>
      </w:r>
      <w:r w:rsidR="00442943">
        <w:rPr>
          <w:rFonts w:cs="Arial"/>
          <w:color w:val="000000" w:themeColor="text1"/>
        </w:rPr>
        <w:t>aspects</w:t>
      </w:r>
      <w:r w:rsidR="007B4730">
        <w:rPr>
          <w:rFonts w:cs="Arial"/>
          <w:color w:val="000000" w:themeColor="text1"/>
        </w:rPr>
        <w:t>:</w:t>
      </w:r>
    </w:p>
    <w:p w14:paraId="1B25504F" w14:textId="42FD229C" w:rsidR="00442943" w:rsidRPr="000B1D13" w:rsidRDefault="00442943" w:rsidP="000823F3">
      <w:pPr>
        <w:pStyle w:val="ListParagraph"/>
        <w:numPr>
          <w:ilvl w:val="0"/>
          <w:numId w:val="18"/>
        </w:numPr>
        <w:ind w:left="709"/>
        <w:jc w:val="both"/>
        <w:rPr>
          <w:rFonts w:cs="Arial"/>
          <w:color w:val="000000" w:themeColor="text1"/>
          <w:sz w:val="20"/>
          <w:szCs w:val="20"/>
          <w:lang w:val="en-US"/>
        </w:rPr>
      </w:pPr>
      <w:r w:rsidRPr="000B1D13">
        <w:rPr>
          <w:rFonts w:cs="Arial"/>
          <w:color w:val="000000" w:themeColor="text1"/>
          <w:sz w:val="20"/>
          <w:szCs w:val="20"/>
          <w:lang w:val="en-US"/>
        </w:rPr>
        <w:t>Before starting the UL transmission (with CAT2 or CAT1 LBT), UE may need to further adapt its BW corresponding to the BW of current DL Tx burst or PUSCH allocation.</w:t>
      </w:r>
      <w:r w:rsidR="000B1D13" w:rsidRPr="000B1D13">
        <w:rPr>
          <w:sz w:val="20"/>
          <w:szCs w:val="20"/>
          <w:lang w:val="en-US"/>
        </w:rPr>
        <w:t xml:space="preserve"> </w:t>
      </w:r>
      <w:r w:rsidR="000B1D13" w:rsidRPr="000B1D13">
        <w:rPr>
          <w:rFonts w:cs="Arial"/>
          <w:color w:val="000000" w:themeColor="text1"/>
          <w:sz w:val="20"/>
          <w:szCs w:val="20"/>
          <w:lang w:val="en-US"/>
        </w:rPr>
        <w:t>Aspect 1 we will not discuss here, because it is currently under discussion in RAN4</w:t>
      </w:r>
      <w:r w:rsidR="000B1D13">
        <w:rPr>
          <w:rFonts w:cs="Arial"/>
          <w:color w:val="000000" w:themeColor="text1"/>
          <w:sz w:val="20"/>
          <w:szCs w:val="20"/>
          <w:lang w:val="en-US"/>
        </w:rPr>
        <w:t>.</w:t>
      </w:r>
      <w:r w:rsidRPr="000B1D13">
        <w:rPr>
          <w:rFonts w:cs="Arial"/>
          <w:color w:val="000000" w:themeColor="text1"/>
          <w:sz w:val="20"/>
          <w:szCs w:val="20"/>
          <w:lang w:val="en-US"/>
        </w:rPr>
        <w:t xml:space="preserve"> </w:t>
      </w:r>
    </w:p>
    <w:p w14:paraId="56F0B3E1" w14:textId="7A087657" w:rsidR="003F41DF" w:rsidRPr="000B1D13" w:rsidRDefault="003F41DF" w:rsidP="000823F3">
      <w:pPr>
        <w:pStyle w:val="ListParagraph"/>
        <w:numPr>
          <w:ilvl w:val="0"/>
          <w:numId w:val="18"/>
        </w:numPr>
        <w:ind w:left="709"/>
        <w:jc w:val="both"/>
        <w:rPr>
          <w:rFonts w:cs="Arial"/>
          <w:color w:val="000000" w:themeColor="text1"/>
          <w:sz w:val="20"/>
          <w:szCs w:val="20"/>
          <w:lang w:val="en-US"/>
        </w:rPr>
      </w:pPr>
      <w:r w:rsidRPr="000B1D13">
        <w:rPr>
          <w:rFonts w:cs="Arial"/>
          <w:color w:val="000000" w:themeColor="text1"/>
          <w:sz w:val="20"/>
          <w:szCs w:val="20"/>
          <w:lang w:val="en-US"/>
        </w:rPr>
        <w:t xml:space="preserve">A gNB may share COT only on the sub-bands on which it has acquired channel access. In other words, it </w:t>
      </w:r>
      <w:r w:rsidRPr="000B1D13">
        <w:rPr>
          <w:rFonts w:cs="Arial"/>
          <w:b/>
          <w:color w:val="000000" w:themeColor="text1"/>
          <w:sz w:val="20"/>
          <w:szCs w:val="20"/>
          <w:lang w:val="en-US"/>
        </w:rPr>
        <w:t xml:space="preserve">may schedule PUSCH with </w:t>
      </w:r>
      <w:r w:rsidR="002C6B2A" w:rsidRPr="000B1D13">
        <w:rPr>
          <w:rFonts w:cs="Arial"/>
          <w:b/>
          <w:color w:val="000000" w:themeColor="text1"/>
          <w:sz w:val="20"/>
          <w:szCs w:val="20"/>
          <w:lang w:val="en-US"/>
        </w:rPr>
        <w:t>CAT2</w:t>
      </w:r>
      <w:r w:rsidR="000B1D13">
        <w:rPr>
          <w:rFonts w:cs="Arial"/>
          <w:b/>
          <w:color w:val="000000" w:themeColor="text1"/>
          <w:sz w:val="20"/>
          <w:szCs w:val="20"/>
          <w:lang w:val="en-US"/>
        </w:rPr>
        <w:t>/CAT1</w:t>
      </w:r>
      <w:r w:rsidRPr="000B1D13">
        <w:rPr>
          <w:rFonts w:cs="Arial"/>
          <w:b/>
          <w:color w:val="000000" w:themeColor="text1"/>
          <w:sz w:val="20"/>
          <w:szCs w:val="20"/>
          <w:lang w:val="en-US"/>
        </w:rPr>
        <w:t xml:space="preserve"> LBT only on the sub-bands</w:t>
      </w:r>
      <w:r w:rsidRPr="000B1D13">
        <w:rPr>
          <w:rFonts w:cs="Arial"/>
          <w:color w:val="000000" w:themeColor="text1"/>
          <w:sz w:val="20"/>
          <w:szCs w:val="20"/>
          <w:lang w:val="en-US"/>
        </w:rPr>
        <w:t xml:space="preserve"> that it is using in the current DL Tx burst.</w:t>
      </w:r>
    </w:p>
    <w:p w14:paraId="6B88B6F9" w14:textId="647149AC" w:rsidR="003F41DF" w:rsidRDefault="003F41DF" w:rsidP="003F41DF">
      <w:pPr>
        <w:jc w:val="both"/>
        <w:rPr>
          <w:rFonts w:cs="Arial"/>
          <w:color w:val="000000" w:themeColor="text1"/>
          <w:lang w:val="en-US"/>
        </w:rPr>
      </w:pPr>
    </w:p>
    <w:p w14:paraId="7028AE46" w14:textId="1E4851CD" w:rsidR="00982BAF" w:rsidRDefault="007B4730" w:rsidP="00982BAF">
      <w:pPr>
        <w:keepNext/>
        <w:rPr>
          <w:rFonts w:cs="Arial"/>
          <w:color w:val="000000" w:themeColor="text1"/>
          <w:lang w:val="en-US"/>
        </w:rPr>
      </w:pPr>
      <w:r>
        <w:rPr>
          <w:rFonts w:cs="Arial"/>
          <w:color w:val="000000" w:themeColor="text1"/>
          <w:lang w:val="en-US"/>
        </w:rPr>
        <w:t>Figure 4</w:t>
      </w:r>
      <w:r w:rsidR="000B1D13">
        <w:rPr>
          <w:rFonts w:cs="Arial"/>
          <w:color w:val="000000" w:themeColor="text1"/>
          <w:lang w:val="en-US"/>
        </w:rPr>
        <w:t xml:space="preserve"> illustrates </w:t>
      </w:r>
      <w:r w:rsidR="00442943">
        <w:rPr>
          <w:rFonts w:cs="Arial"/>
          <w:color w:val="000000" w:themeColor="text1"/>
          <w:lang w:val="en-US"/>
        </w:rPr>
        <w:t>PDSCH</w:t>
      </w:r>
      <w:r w:rsidR="000B1D13">
        <w:rPr>
          <w:rFonts w:cs="Arial"/>
          <w:color w:val="000000" w:themeColor="text1"/>
          <w:lang w:val="en-US"/>
        </w:rPr>
        <w:t>(yellow)</w:t>
      </w:r>
      <w:r w:rsidR="00442943">
        <w:rPr>
          <w:rFonts w:cs="Arial"/>
          <w:color w:val="000000" w:themeColor="text1"/>
          <w:lang w:val="en-US"/>
        </w:rPr>
        <w:t xml:space="preserve"> </w:t>
      </w:r>
      <w:r w:rsidR="000B1D13">
        <w:rPr>
          <w:rFonts w:cs="Arial"/>
          <w:color w:val="000000" w:themeColor="text1"/>
          <w:lang w:val="en-US"/>
        </w:rPr>
        <w:t>and PUSCH (green) scheduling in shared gNB COT</w:t>
      </w:r>
      <w:r>
        <w:rPr>
          <w:rFonts w:cs="Arial"/>
          <w:color w:val="000000" w:themeColor="text1"/>
          <w:lang w:val="en-US"/>
        </w:rPr>
        <w:t>.</w:t>
      </w:r>
      <w:r w:rsidR="000B1D13">
        <w:rPr>
          <w:rFonts w:cs="Arial"/>
          <w:color w:val="000000" w:themeColor="text1"/>
          <w:lang w:val="en-US"/>
        </w:rPr>
        <w:t xml:space="preserve"> A</w:t>
      </w:r>
      <w:r w:rsidR="0049468D">
        <w:rPr>
          <w:rFonts w:cs="Arial"/>
          <w:color w:val="000000" w:themeColor="text1"/>
          <w:lang w:val="en-US"/>
        </w:rPr>
        <w:t xml:space="preserve"> UE perform</w:t>
      </w:r>
      <w:r w:rsidR="000B1D13">
        <w:rPr>
          <w:rFonts w:cs="Arial"/>
          <w:color w:val="000000" w:themeColor="text1"/>
          <w:lang w:val="en-US"/>
        </w:rPr>
        <w:t>s</w:t>
      </w:r>
      <w:r w:rsidR="0049468D">
        <w:rPr>
          <w:rFonts w:cs="Arial"/>
          <w:color w:val="000000" w:themeColor="text1"/>
          <w:lang w:val="en-US"/>
        </w:rPr>
        <w:t xml:space="preserve"> LBT only on sub-bands</w:t>
      </w:r>
      <w:r w:rsidR="000B1D13">
        <w:rPr>
          <w:rFonts w:cs="Arial"/>
          <w:color w:val="000000" w:themeColor="text1"/>
          <w:lang w:val="en-US"/>
        </w:rPr>
        <w:t xml:space="preserve"> (#0-#2)</w:t>
      </w:r>
      <w:r w:rsidR="0049468D">
        <w:rPr>
          <w:rFonts w:cs="Arial"/>
          <w:color w:val="000000" w:themeColor="text1"/>
          <w:lang w:val="en-US"/>
        </w:rPr>
        <w:t xml:space="preserve"> acquired by gNB. In case the </w:t>
      </w:r>
      <w:r w:rsidR="00FF5F6C">
        <w:rPr>
          <w:rFonts w:cs="Arial"/>
          <w:color w:val="000000" w:themeColor="text1"/>
          <w:lang w:val="en-US"/>
        </w:rPr>
        <w:t xml:space="preserve">PUSCH </w:t>
      </w:r>
      <w:r w:rsidR="00A4127D">
        <w:rPr>
          <w:rFonts w:cs="Arial"/>
          <w:color w:val="000000" w:themeColor="text1"/>
          <w:lang w:val="en-US"/>
        </w:rPr>
        <w:t xml:space="preserve">transmission </w:t>
      </w:r>
      <w:r w:rsidR="00FF5F6C">
        <w:rPr>
          <w:rFonts w:cs="Arial"/>
          <w:color w:val="000000" w:themeColor="text1"/>
          <w:lang w:val="en-US"/>
        </w:rPr>
        <w:t>would be allowed with CAT1, the UE could prepare the single TB across</w:t>
      </w:r>
      <w:r w:rsidR="00F47FD1">
        <w:rPr>
          <w:rFonts w:cs="Arial"/>
          <w:color w:val="000000" w:themeColor="text1"/>
          <w:lang w:val="en-US"/>
        </w:rPr>
        <w:t xml:space="preserve"> multiple</w:t>
      </w:r>
      <w:r w:rsidR="00FF5F6C">
        <w:rPr>
          <w:rFonts w:cs="Arial"/>
          <w:color w:val="000000" w:themeColor="text1"/>
          <w:lang w:val="en-US"/>
        </w:rPr>
        <w:t xml:space="preserve"> sub-bands</w:t>
      </w:r>
      <w:r w:rsidR="00A4127D">
        <w:rPr>
          <w:rFonts w:cs="Arial"/>
          <w:color w:val="000000" w:themeColor="text1"/>
          <w:lang w:val="en-US"/>
        </w:rPr>
        <w:t xml:space="preserve"> already for the first transmission</w:t>
      </w:r>
      <w:r w:rsidR="000B1D13">
        <w:rPr>
          <w:rFonts w:cs="Arial"/>
          <w:color w:val="000000" w:themeColor="text1"/>
          <w:lang w:val="en-US"/>
        </w:rPr>
        <w:t xml:space="preserve"> in the UL portion of the gNB COT</w:t>
      </w:r>
      <w:r w:rsidR="00FF5F6C">
        <w:rPr>
          <w:rFonts w:cs="Arial"/>
          <w:color w:val="000000" w:themeColor="text1"/>
          <w:lang w:val="en-US"/>
        </w:rPr>
        <w:t>. In case of CAT2 LBT, the UL procedure</w:t>
      </w:r>
      <w:r w:rsidR="00A4127D">
        <w:rPr>
          <w:rFonts w:cs="Arial"/>
          <w:color w:val="000000" w:themeColor="text1"/>
          <w:lang w:val="en-US"/>
        </w:rPr>
        <w:t xml:space="preserve"> </w:t>
      </w:r>
      <w:r w:rsidR="00FF5F6C">
        <w:rPr>
          <w:rFonts w:cs="Arial"/>
          <w:color w:val="000000" w:themeColor="text1"/>
          <w:lang w:val="en-US"/>
        </w:rPr>
        <w:t xml:space="preserve">from </w:t>
      </w:r>
      <w:r w:rsidR="00A4127D">
        <w:rPr>
          <w:rFonts w:cs="Arial"/>
          <w:color w:val="000000" w:themeColor="text1"/>
          <w:lang w:val="en-US"/>
        </w:rPr>
        <w:t>UE COT (above) would apply</w:t>
      </w:r>
      <w:r w:rsidR="000B1D13">
        <w:rPr>
          <w:rFonts w:cs="Arial"/>
          <w:color w:val="000000" w:themeColor="text1"/>
          <w:lang w:val="en-US"/>
        </w:rPr>
        <w:t>, as illustrated in Figure 4</w:t>
      </w:r>
      <w:r w:rsidR="00FF5F6C">
        <w:rPr>
          <w:rFonts w:cs="Arial"/>
          <w:color w:val="000000" w:themeColor="text1"/>
          <w:lang w:val="en-US"/>
        </w:rPr>
        <w:t xml:space="preserve">. </w:t>
      </w:r>
    </w:p>
    <w:p w14:paraId="426BBC3A" w14:textId="23ABA857" w:rsidR="00982BAF" w:rsidRDefault="002C6B2A" w:rsidP="00982BAF">
      <w:pPr>
        <w:keepNext/>
        <w:jc w:val="center"/>
      </w:pPr>
      <w:r>
        <w:object w:dxaOrig="8070" w:dyaOrig="6900" w14:anchorId="2EF32F56">
          <v:shape id="_x0000_i1028" type="#_x0000_t75" style="width:253.6pt;height:215.45pt" o:ole="">
            <v:imagedata r:id="rId19" o:title=""/>
          </v:shape>
          <o:OLEObject Type="Embed" ProgID="Visio.Drawing.11" ShapeID="_x0000_i1028" DrawAspect="Content" ObjectID="_1608741251" r:id="rId20"/>
        </w:object>
      </w:r>
    </w:p>
    <w:p w14:paraId="3A20C993" w14:textId="77777777" w:rsidR="00982BAF" w:rsidRDefault="00982BAF" w:rsidP="00982BAF">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Pr>
          <w:noProof/>
        </w:rPr>
        <w:t>4</w:t>
      </w:r>
      <w:r>
        <w:fldChar w:fldCharType="end"/>
      </w:r>
      <w:r>
        <w:t xml:space="preserve"> An example of WB operation in shared COT</w:t>
      </w:r>
    </w:p>
    <w:p w14:paraId="41D188B1" w14:textId="277E5BBD" w:rsidR="00AD69EF" w:rsidRDefault="00AD69EF" w:rsidP="00AD69EF">
      <w:pPr>
        <w:jc w:val="both"/>
        <w:rPr>
          <w:rFonts w:cs="Arial"/>
          <w:color w:val="000000" w:themeColor="text1"/>
          <w:lang w:val="en-US"/>
        </w:rPr>
      </w:pPr>
    </w:p>
    <w:p w14:paraId="727879DF" w14:textId="77777777" w:rsidR="00982BAF" w:rsidRDefault="00982BAF" w:rsidP="00982BAF">
      <w:pPr>
        <w:spacing w:after="0"/>
        <w:jc w:val="both"/>
        <w:rPr>
          <w:b/>
          <w:i/>
          <w:lang w:val="en-US"/>
        </w:rPr>
      </w:pPr>
    </w:p>
    <w:p w14:paraId="78A8C52C" w14:textId="6D733A6E" w:rsidR="00982BAF" w:rsidRPr="00982BAF" w:rsidRDefault="00982BAF" w:rsidP="00982BAF">
      <w:pPr>
        <w:spacing w:after="0"/>
        <w:jc w:val="both"/>
        <w:rPr>
          <w:lang w:val="en-US"/>
        </w:rPr>
      </w:pPr>
      <w:r w:rsidRPr="00982BAF">
        <w:rPr>
          <w:lang w:val="en-US"/>
        </w:rPr>
        <w:t>Based</w:t>
      </w:r>
      <w:r>
        <w:rPr>
          <w:lang w:val="en-US"/>
        </w:rPr>
        <w:t xml:space="preserve"> on above discussion, we have the following proposals:</w:t>
      </w:r>
    </w:p>
    <w:p w14:paraId="2C5C7540" w14:textId="77777777" w:rsidR="00982BAF" w:rsidRDefault="00982BAF" w:rsidP="00982BAF">
      <w:pPr>
        <w:spacing w:after="0"/>
        <w:jc w:val="both"/>
        <w:rPr>
          <w:b/>
          <w:i/>
          <w:lang w:val="en-US"/>
        </w:rPr>
      </w:pPr>
    </w:p>
    <w:p w14:paraId="35BD6E00" w14:textId="5F46BD06" w:rsidR="00982BAF" w:rsidRDefault="00982BAF" w:rsidP="00982BAF">
      <w:pPr>
        <w:jc w:val="both"/>
        <w:rPr>
          <w:i/>
          <w:color w:val="000000"/>
        </w:rPr>
      </w:pPr>
      <w:r w:rsidRPr="00C53A37">
        <w:rPr>
          <w:b/>
          <w:i/>
          <w:lang w:val="en-US"/>
        </w:rPr>
        <w:lastRenderedPageBreak/>
        <w:t xml:space="preserve">Proposal </w:t>
      </w:r>
      <w:r w:rsidR="002551BF">
        <w:rPr>
          <w:b/>
          <w:i/>
          <w:lang w:val="en-US"/>
        </w:rPr>
        <w:t>4</w:t>
      </w:r>
      <w:r w:rsidRPr="006F0024">
        <w:rPr>
          <w:b/>
          <w:i/>
          <w:lang w:val="en-US"/>
        </w:rPr>
        <w:t xml:space="preserve">: </w:t>
      </w:r>
      <w:r w:rsidRPr="00123D8F">
        <w:rPr>
          <w:i/>
          <w:color w:val="000000"/>
        </w:rPr>
        <w:t>If BWP operation according to</w:t>
      </w:r>
      <w:r>
        <w:rPr>
          <w:i/>
          <w:color w:val="000000"/>
        </w:rPr>
        <w:t xml:space="preserve"> modified</w:t>
      </w:r>
      <w:r w:rsidRPr="00123D8F">
        <w:rPr>
          <w:i/>
          <w:color w:val="000000"/>
        </w:rPr>
        <w:t xml:space="preserve"> Option 3 is supported</w:t>
      </w:r>
      <w:r>
        <w:rPr>
          <w:i/>
          <w:color w:val="000000"/>
        </w:rPr>
        <w:t>, for transmissions preceded by CAT2 or CAT4 LBT, a UE/gNB transmits/receives one TB per sub-band in the first/partial slot</w:t>
      </w:r>
      <w:r w:rsidR="00295FCD">
        <w:rPr>
          <w:i/>
          <w:color w:val="000000"/>
        </w:rPr>
        <w:t>(s)</w:t>
      </w:r>
      <w:r>
        <w:rPr>
          <w:i/>
          <w:color w:val="000000"/>
        </w:rPr>
        <w:t xml:space="preserve"> of a COT, in later</w:t>
      </w:r>
      <w:r w:rsidR="00295FCD">
        <w:rPr>
          <w:i/>
          <w:color w:val="000000"/>
        </w:rPr>
        <w:t xml:space="preserve"> consecutive</w:t>
      </w:r>
      <w:r>
        <w:rPr>
          <w:i/>
          <w:color w:val="000000"/>
        </w:rPr>
        <w:t xml:space="preserve"> slots TB may span over </w:t>
      </w:r>
      <w:r w:rsidR="00F47FD1">
        <w:rPr>
          <w:i/>
          <w:color w:val="000000"/>
        </w:rPr>
        <w:t>multiple sub-bands of a BWP</w:t>
      </w:r>
      <w:r>
        <w:rPr>
          <w:i/>
          <w:color w:val="000000"/>
        </w:rPr>
        <w:t>.</w:t>
      </w:r>
    </w:p>
    <w:p w14:paraId="3F2407B5" w14:textId="37CE8A5D" w:rsidR="00F47FD1" w:rsidRPr="00D53D4C" w:rsidRDefault="00F47FD1" w:rsidP="00F47FD1">
      <w:pPr>
        <w:jc w:val="both"/>
        <w:rPr>
          <w:b/>
          <w:i/>
          <w:lang w:val="en-US"/>
        </w:rPr>
      </w:pPr>
      <w:r w:rsidRPr="00C53A37">
        <w:rPr>
          <w:b/>
          <w:i/>
          <w:lang w:val="en-US"/>
        </w:rPr>
        <w:t xml:space="preserve">Proposal </w:t>
      </w:r>
      <w:r w:rsidR="002551BF">
        <w:rPr>
          <w:b/>
          <w:i/>
          <w:lang w:val="en-US"/>
        </w:rPr>
        <w:t>5</w:t>
      </w:r>
      <w:r w:rsidRPr="006F0024">
        <w:rPr>
          <w:b/>
          <w:i/>
          <w:lang w:val="en-US"/>
        </w:rPr>
        <w:t xml:space="preserve">: </w:t>
      </w:r>
      <w:r w:rsidRPr="00123D8F">
        <w:rPr>
          <w:i/>
          <w:color w:val="000000"/>
        </w:rPr>
        <w:t>If BWP operation according to</w:t>
      </w:r>
      <w:r>
        <w:rPr>
          <w:i/>
          <w:color w:val="000000"/>
        </w:rPr>
        <w:t xml:space="preserve"> modified</w:t>
      </w:r>
      <w:r w:rsidRPr="00123D8F">
        <w:rPr>
          <w:i/>
          <w:color w:val="000000"/>
        </w:rPr>
        <w:t xml:space="preserve"> Option 3 is supported</w:t>
      </w:r>
      <w:r>
        <w:rPr>
          <w:i/>
          <w:color w:val="000000"/>
        </w:rPr>
        <w:t xml:space="preserve">, for </w:t>
      </w:r>
      <w:r w:rsidR="00A4127D">
        <w:rPr>
          <w:i/>
          <w:color w:val="000000"/>
        </w:rPr>
        <w:t xml:space="preserve">PUSCH </w:t>
      </w:r>
      <w:r>
        <w:rPr>
          <w:i/>
          <w:color w:val="000000"/>
        </w:rPr>
        <w:t xml:space="preserve">transmissions preceded by CAT1 LBT in shared </w:t>
      </w:r>
      <w:r w:rsidR="00C82DA3">
        <w:rPr>
          <w:i/>
          <w:color w:val="000000"/>
        </w:rPr>
        <w:t xml:space="preserve">gNB </w:t>
      </w:r>
      <w:r>
        <w:rPr>
          <w:i/>
          <w:color w:val="000000"/>
        </w:rPr>
        <w:t>COT, a UE/gNB may transmit/receive one TB across multiple sub-bands of a BWP</w:t>
      </w:r>
      <w:r w:rsidR="00A4127D">
        <w:rPr>
          <w:i/>
          <w:color w:val="000000"/>
        </w:rPr>
        <w:t>.</w:t>
      </w:r>
    </w:p>
    <w:p w14:paraId="55443FD4" w14:textId="6FA9D5E1" w:rsidR="00FF5F6C" w:rsidRDefault="00FF5F6C" w:rsidP="00AD69EF">
      <w:pPr>
        <w:jc w:val="both"/>
        <w:rPr>
          <w:rFonts w:cs="Arial"/>
          <w:i/>
          <w:color w:val="000000" w:themeColor="text1"/>
          <w:lang w:val="en-US"/>
        </w:rPr>
      </w:pPr>
      <w:r w:rsidRPr="00FF5F6C">
        <w:rPr>
          <w:rFonts w:cs="Arial"/>
          <w:b/>
          <w:i/>
          <w:color w:val="000000" w:themeColor="text1"/>
          <w:lang w:val="en-US"/>
        </w:rPr>
        <w:t>Proposal</w:t>
      </w:r>
      <w:r w:rsidR="00982BAF">
        <w:rPr>
          <w:rFonts w:cs="Arial"/>
          <w:b/>
          <w:i/>
          <w:color w:val="000000" w:themeColor="text1"/>
          <w:lang w:val="en-US"/>
        </w:rPr>
        <w:t xml:space="preserve"> </w:t>
      </w:r>
      <w:r w:rsidR="002551BF">
        <w:rPr>
          <w:rFonts w:cs="Arial"/>
          <w:b/>
          <w:i/>
          <w:color w:val="000000" w:themeColor="text1"/>
          <w:lang w:val="en-US"/>
        </w:rPr>
        <w:t>6</w:t>
      </w:r>
      <w:r w:rsidRPr="00FF5F6C">
        <w:rPr>
          <w:rFonts w:cs="Arial"/>
          <w:b/>
          <w:i/>
          <w:color w:val="000000" w:themeColor="text1"/>
          <w:lang w:val="en-US"/>
        </w:rPr>
        <w:t>:</w:t>
      </w:r>
      <w:r w:rsidRPr="00FF5F6C">
        <w:rPr>
          <w:rFonts w:cs="Arial"/>
          <w:i/>
          <w:color w:val="000000" w:themeColor="text1"/>
          <w:lang w:val="en-US"/>
        </w:rPr>
        <w:t xml:space="preserve"> For WB operation according to</w:t>
      </w:r>
      <w:r w:rsidR="00982BAF">
        <w:rPr>
          <w:rFonts w:cs="Arial"/>
          <w:i/>
          <w:color w:val="000000" w:themeColor="text1"/>
          <w:lang w:val="en-US"/>
        </w:rPr>
        <w:t xml:space="preserve"> modified</w:t>
      </w:r>
      <w:r w:rsidRPr="00FF5F6C">
        <w:rPr>
          <w:rFonts w:cs="Arial"/>
          <w:i/>
          <w:color w:val="000000" w:themeColor="text1"/>
          <w:lang w:val="en-US"/>
        </w:rPr>
        <w:t xml:space="preserve"> Option3, </w:t>
      </w:r>
      <w:r w:rsidR="00FC4137">
        <w:rPr>
          <w:i/>
          <w:color w:val="000000"/>
        </w:rPr>
        <w:t>for transmissions preceded by CAT2 or CAT4 LBT,</w:t>
      </w:r>
      <w:r w:rsidR="00FC4137" w:rsidRPr="00FF5F6C">
        <w:rPr>
          <w:rFonts w:cs="Arial"/>
          <w:i/>
          <w:color w:val="000000" w:themeColor="text1"/>
          <w:lang w:val="en-US"/>
        </w:rPr>
        <w:t xml:space="preserve"> </w:t>
      </w:r>
      <w:r w:rsidRPr="00FF5F6C">
        <w:rPr>
          <w:rFonts w:cs="Arial"/>
          <w:i/>
          <w:color w:val="000000" w:themeColor="text1"/>
          <w:lang w:val="en-US"/>
        </w:rPr>
        <w:t xml:space="preserve">in case of contiguous multi-PUSCH scheduled </w:t>
      </w:r>
      <w:r w:rsidR="002C6B2A">
        <w:rPr>
          <w:rFonts w:cs="Arial"/>
          <w:i/>
          <w:color w:val="000000" w:themeColor="text1"/>
          <w:lang w:val="en-US"/>
        </w:rPr>
        <w:t>within the same COT</w:t>
      </w:r>
      <w:r w:rsidRPr="00FF5F6C">
        <w:rPr>
          <w:rFonts w:cs="Arial"/>
          <w:i/>
          <w:color w:val="000000" w:themeColor="text1"/>
          <w:lang w:val="en-US"/>
        </w:rPr>
        <w:t>, HARQ</w:t>
      </w:r>
      <w:r w:rsidR="000823F3">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7F136107" w14:textId="5B27E324" w:rsidR="002551BF" w:rsidRPr="0048748C" w:rsidRDefault="002551BF" w:rsidP="002551BF">
      <w:pPr>
        <w:pStyle w:val="Heading2"/>
      </w:pPr>
      <w:r>
        <w:t xml:space="preserve">PUCCH resources </w:t>
      </w:r>
    </w:p>
    <w:p w14:paraId="49181FF9" w14:textId="26AF7C9B" w:rsidR="00B43DF8" w:rsidRPr="001C2917" w:rsidRDefault="006923D4" w:rsidP="000B1D13">
      <w:pPr>
        <w:jc w:val="both"/>
        <w:rPr>
          <w:rFonts w:cs="Arial"/>
          <w:color w:val="000000" w:themeColor="text1"/>
        </w:rPr>
      </w:pPr>
      <w:r>
        <w:rPr>
          <w:rFonts w:cs="Arial"/>
          <w:color w:val="000000" w:themeColor="text1"/>
        </w:rPr>
        <w:t xml:space="preserve">The core of Option 3 – DL and UL may be on </w:t>
      </w:r>
      <w:r w:rsidRPr="00D75759">
        <w:rPr>
          <w:rFonts w:cs="Arial"/>
          <w:color w:val="000000" w:themeColor="text1"/>
        </w:rPr>
        <w:t>parts of single BWP where CCA is successful</w:t>
      </w:r>
      <w:r>
        <w:rPr>
          <w:rFonts w:cs="Arial"/>
          <w:color w:val="000000" w:themeColor="text1"/>
        </w:rPr>
        <w:t xml:space="preserve"> – </w:t>
      </w:r>
      <w:r w:rsidR="00F75B55">
        <w:rPr>
          <w:rFonts w:cs="Arial"/>
          <w:color w:val="000000" w:themeColor="text1"/>
        </w:rPr>
        <w:t xml:space="preserve">may have impacts on the efficient use of PUCCH resources and </w:t>
      </w:r>
      <w:r w:rsidR="00A220A9">
        <w:rPr>
          <w:rFonts w:cs="Arial"/>
          <w:color w:val="000000" w:themeColor="text1"/>
        </w:rPr>
        <w:t>shall</w:t>
      </w:r>
      <w:r w:rsidR="00F75B55">
        <w:rPr>
          <w:rFonts w:cs="Arial"/>
          <w:color w:val="000000" w:themeColor="text1"/>
        </w:rPr>
        <w:t xml:space="preserve"> be considered. </w:t>
      </w:r>
      <w:r w:rsidR="001C2917">
        <w:rPr>
          <w:rFonts w:cs="Arial"/>
          <w:color w:val="000000" w:themeColor="text1"/>
        </w:rPr>
        <w:t>One such impact is</w:t>
      </w:r>
      <w:r w:rsidR="0035225E">
        <w:rPr>
          <w:rFonts w:cs="Arial"/>
          <w:color w:val="000000" w:themeColor="text1"/>
        </w:rPr>
        <w:t xml:space="preserve"> illustrated </w:t>
      </w:r>
      <w:r w:rsidR="0035225E" w:rsidRPr="000B1D13">
        <w:rPr>
          <w:rFonts w:cs="Arial"/>
          <w:color w:val="000000" w:themeColor="text1"/>
        </w:rPr>
        <w:t>in Figure 5</w:t>
      </w:r>
      <w:r w:rsidR="001C2917">
        <w:rPr>
          <w:rFonts w:cs="Arial"/>
          <w:color w:val="000000" w:themeColor="text1"/>
        </w:rPr>
        <w:t xml:space="preserve">. </w:t>
      </w:r>
      <w:r w:rsidR="00576402">
        <w:rPr>
          <w:rFonts w:cs="Arial"/>
          <w:color w:val="000000" w:themeColor="text1"/>
        </w:rPr>
        <w:t>In the figure,</w:t>
      </w:r>
      <w:r w:rsidR="00A220A9" w:rsidRPr="000B1D13">
        <w:rPr>
          <w:rFonts w:cs="Arial"/>
          <w:color w:val="000000" w:themeColor="text1"/>
        </w:rPr>
        <w:t xml:space="preserve"> </w:t>
      </w:r>
      <w:r w:rsidR="00F75B55" w:rsidRPr="000B1D13">
        <w:rPr>
          <w:rFonts w:cs="Arial"/>
          <w:color w:val="000000" w:themeColor="text1"/>
        </w:rPr>
        <w:t>gNB transmits only on some of the sub-bands</w:t>
      </w:r>
      <w:r w:rsidR="00576402">
        <w:rPr>
          <w:rFonts w:cs="Arial"/>
          <w:color w:val="000000" w:themeColor="text1"/>
        </w:rPr>
        <w:t xml:space="preserve"> of the BWP</w:t>
      </w:r>
      <w:r w:rsidR="00F75B55" w:rsidRPr="000B1D13">
        <w:rPr>
          <w:rFonts w:cs="Arial"/>
          <w:color w:val="000000" w:themeColor="text1"/>
        </w:rPr>
        <w:t xml:space="preserve">. </w:t>
      </w:r>
      <w:r w:rsidR="0018431D" w:rsidRPr="000B1D13">
        <w:rPr>
          <w:rFonts w:cs="Arial"/>
          <w:color w:val="000000" w:themeColor="text1"/>
        </w:rPr>
        <w:t xml:space="preserve">This can be taken into account when allocating PUCCH resource </w:t>
      </w:r>
      <w:r w:rsidR="00576402" w:rsidRPr="00C5744D">
        <w:rPr>
          <w:rFonts w:cs="Arial"/>
          <w:color w:val="000000" w:themeColor="text1"/>
        </w:rPr>
        <w:t>e</w:t>
      </w:r>
      <w:r w:rsidR="00576402">
        <w:rPr>
          <w:rFonts w:cs="Arial"/>
          <w:color w:val="000000" w:themeColor="text1"/>
        </w:rPr>
        <w:t>.</w:t>
      </w:r>
      <w:r w:rsidR="0053752A" w:rsidRPr="000B1D13">
        <w:rPr>
          <w:rFonts w:cs="Arial"/>
          <w:color w:val="000000" w:themeColor="text1"/>
        </w:rPr>
        <w:t xml:space="preserve">g. </w:t>
      </w:r>
      <w:r w:rsidR="0018431D" w:rsidRPr="000B1D13">
        <w:rPr>
          <w:rFonts w:cs="Arial"/>
          <w:color w:val="000000" w:themeColor="text1"/>
        </w:rPr>
        <w:t xml:space="preserve">for </w:t>
      </w:r>
      <w:r w:rsidR="0053752A" w:rsidRPr="000B1D13">
        <w:rPr>
          <w:rFonts w:cs="Arial"/>
          <w:color w:val="000000" w:themeColor="text1"/>
        </w:rPr>
        <w:t xml:space="preserve">HARQ feedback within the </w:t>
      </w:r>
      <w:r w:rsidR="0053752A" w:rsidRPr="000B1D13">
        <w:rPr>
          <w:rFonts w:cs="Arial"/>
          <w:b/>
          <w:color w:val="000000" w:themeColor="text1"/>
          <w:lang w:eastAsia="zh-CN"/>
        </w:rPr>
        <w:t>shared COT</w:t>
      </w:r>
      <w:r w:rsidR="0053752A" w:rsidRPr="000B1D13">
        <w:rPr>
          <w:rFonts w:cs="Arial"/>
          <w:color w:val="000000" w:themeColor="text1"/>
        </w:rPr>
        <w:t>,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w:t>
      </w:r>
      <w:r w:rsidR="00B43DF8" w:rsidRPr="000B1D13">
        <w:rPr>
          <w:rFonts w:cs="Arial"/>
          <w:color w:val="000000" w:themeColor="text1"/>
        </w:rPr>
        <w:t xml:space="preserve"> located on the active sub-band</w:t>
      </w:r>
      <w:r w:rsidR="00576402">
        <w:rPr>
          <w:rFonts w:cs="Arial"/>
          <w:color w:val="000000" w:themeColor="text1"/>
        </w:rPr>
        <w:t xml:space="preserve"> as shown in Figure 5</w:t>
      </w:r>
      <w:r w:rsidR="0053752A" w:rsidRPr="000B1D13">
        <w:rPr>
          <w:rFonts w:cs="Arial"/>
          <w:color w:val="000000" w:themeColor="text1"/>
        </w:rPr>
        <w:t>.</w:t>
      </w:r>
      <w:r w:rsidR="00B43DF8" w:rsidRPr="000B1D13">
        <w:rPr>
          <w:rFonts w:cs="Arial"/>
          <w:color w:val="000000" w:themeColor="text1"/>
        </w:rPr>
        <w:t xml:space="preserve"> This is clearly insufficient to control also the PUCCH duration as well as time location within the slot.</w:t>
      </w:r>
      <w:r w:rsidR="00A220A9" w:rsidRPr="000B1D13">
        <w:rPr>
          <w:rFonts w:cs="Arial"/>
          <w:color w:val="000000" w:themeColor="text1"/>
        </w:rPr>
        <w:t xml:space="preserve"> Moreover, </w:t>
      </w:r>
      <w:r w:rsidR="00B01586" w:rsidRPr="000B1D13">
        <w:rPr>
          <w:rFonts w:cs="Arial"/>
          <w:color w:val="000000" w:themeColor="text1"/>
        </w:rPr>
        <w:t xml:space="preserve">it </w:t>
      </w:r>
      <w:r w:rsidR="00A220A9" w:rsidRPr="000B1D13">
        <w:rPr>
          <w:rFonts w:cs="Arial"/>
          <w:color w:val="000000" w:themeColor="text1"/>
        </w:rPr>
        <w:t>results in increased multi-user blocking</w:t>
      </w:r>
      <w:r w:rsidR="00576402">
        <w:rPr>
          <w:rFonts w:cs="Arial"/>
          <w:color w:val="000000" w:themeColor="text1"/>
        </w:rPr>
        <w:t xml:space="preserve"> due to reduced capability to select non-overlapping PUCCH resources to different UEs</w:t>
      </w:r>
      <w:r w:rsidR="00A220A9" w:rsidRPr="000B1D13">
        <w:rPr>
          <w:rFonts w:cs="Arial"/>
          <w:color w:val="000000" w:themeColor="text1"/>
        </w:rPr>
        <w:t>. Therefore,</w:t>
      </w:r>
      <w:r w:rsidR="0024390D" w:rsidRPr="000B1D13">
        <w:rPr>
          <w:rFonts w:cs="Arial"/>
          <w:color w:val="000000" w:themeColor="text1"/>
        </w:rPr>
        <w:t xml:space="preserve"> we see that PUCCH resource configuration in frequency domain need to be enhanced to ensure sufficient number of PUCCH resources on each BWP sub-band.</w:t>
      </w:r>
      <w:r w:rsidR="0053752A" w:rsidRPr="000B1D13">
        <w:rPr>
          <w:rFonts w:cs="Arial"/>
          <w:color w:val="000000" w:themeColor="text1"/>
        </w:rPr>
        <w:t xml:space="preserve">  </w:t>
      </w:r>
    </w:p>
    <w:p w14:paraId="257E4EC4" w14:textId="6735C925" w:rsidR="002551BF" w:rsidRPr="00576402" w:rsidRDefault="00B43DF8" w:rsidP="000B1D13">
      <w:pPr>
        <w:spacing w:after="120"/>
        <w:jc w:val="both"/>
        <w:rPr>
          <w:rFonts w:cs="Arial"/>
          <w:color w:val="000000" w:themeColor="text1"/>
          <w:sz w:val="24"/>
          <w:szCs w:val="24"/>
          <w:lang w:eastAsia="zh-CN"/>
        </w:rPr>
      </w:pPr>
      <w:r w:rsidRPr="000B1D13">
        <w:rPr>
          <w:rFonts w:cs="Arial"/>
          <w:color w:val="000000" w:themeColor="text1"/>
        </w:rPr>
        <w:t>To</w:t>
      </w:r>
      <w:r w:rsidR="0053752A" w:rsidRPr="000B1D13">
        <w:rPr>
          <w:rFonts w:cs="Arial"/>
          <w:color w:val="000000" w:themeColor="text1"/>
        </w:rPr>
        <w:t xml:space="preserve"> </w:t>
      </w:r>
      <w:r w:rsidRPr="000B1D13">
        <w:rPr>
          <w:rFonts w:cs="Arial"/>
          <w:color w:val="000000" w:themeColor="text1"/>
        </w:rPr>
        <w:t>increase the number of available PUCCH resources on each sub-band, the number of configured PUCCH resources in a PUCCH resource set could be increased. The PRI field could be extended or, to keep 3-bit PRI, only some of the PUCCH resources could be active when gNB transmits on multiple sub-bands of BWP. Alternatively, the number of configured P</w:t>
      </w:r>
      <w:r w:rsidR="00445801" w:rsidRPr="000B1D13">
        <w:rPr>
          <w:rFonts w:cs="Arial"/>
          <w:color w:val="000000" w:themeColor="text1"/>
        </w:rPr>
        <w:t xml:space="preserve">UCCH resources per PUCCH resource set could be kept unchanged and the PUCCH resource sub-band allocation </w:t>
      </w:r>
      <w:r w:rsidR="00576402">
        <w:rPr>
          <w:rFonts w:cs="Arial"/>
          <w:color w:val="000000" w:themeColor="text1"/>
        </w:rPr>
        <w:t xml:space="preserve">could be modified </w:t>
      </w:r>
      <w:r w:rsidR="00445801" w:rsidRPr="000B1D13">
        <w:rPr>
          <w:rFonts w:cs="Arial"/>
          <w:color w:val="000000" w:themeColor="text1"/>
        </w:rPr>
        <w:t xml:space="preserve">(e.g with a secondary PRB allocation) based on the sub-bands currently used by gNB on the COT. </w:t>
      </w:r>
      <w:r w:rsidRPr="000B1D13">
        <w:rPr>
          <w:rFonts w:cs="Arial"/>
          <w:color w:val="000000" w:themeColor="text1"/>
        </w:rPr>
        <w:t xml:space="preserve">    </w:t>
      </w:r>
      <w:r w:rsidR="0053752A" w:rsidRPr="000B1D13">
        <w:rPr>
          <w:rFonts w:cs="Arial"/>
          <w:color w:val="000000" w:themeColor="text1"/>
        </w:rPr>
        <w:t xml:space="preserve"> </w:t>
      </w:r>
    </w:p>
    <w:p w14:paraId="16C09601" w14:textId="04E82E9A" w:rsidR="0018431D" w:rsidRDefault="00576402" w:rsidP="000B1D13">
      <w:pPr>
        <w:spacing w:after="0"/>
        <w:jc w:val="both"/>
        <w:rPr>
          <w:rFonts w:cs="Arial"/>
          <w:color w:val="000000" w:themeColor="text1"/>
        </w:rPr>
      </w:pPr>
      <w:r>
        <w:rPr>
          <w:rFonts w:cs="Arial"/>
          <w:color w:val="000000" w:themeColor="text1"/>
        </w:rPr>
        <w:t xml:space="preserve">In here, the impact of wideband DL LBT was considered. It requires some further studies whether the impact of wideband UL LBT needs to be </w:t>
      </w:r>
      <w:r w:rsidR="007A544A">
        <w:rPr>
          <w:rFonts w:cs="Arial"/>
          <w:color w:val="000000" w:themeColor="text1"/>
        </w:rPr>
        <w:t xml:space="preserve">addressed </w:t>
      </w:r>
      <w:r>
        <w:rPr>
          <w:rFonts w:cs="Arial"/>
          <w:color w:val="000000" w:themeColor="text1"/>
        </w:rPr>
        <w:t>se</w:t>
      </w:r>
      <w:r w:rsidR="007A544A">
        <w:rPr>
          <w:rFonts w:cs="Arial"/>
          <w:color w:val="000000" w:themeColor="text1"/>
        </w:rPr>
        <w:t>parately</w:t>
      </w:r>
      <w:r>
        <w:rPr>
          <w:rFonts w:cs="Arial"/>
          <w:color w:val="000000" w:themeColor="text1"/>
        </w:rPr>
        <w:t xml:space="preserve">. </w:t>
      </w:r>
      <w:r w:rsidR="0018431D">
        <w:rPr>
          <w:rFonts w:cs="Arial"/>
          <w:color w:val="000000" w:themeColor="text1"/>
        </w:rPr>
        <w:t xml:space="preserve">Based on above discussion, we make the following proposal: </w:t>
      </w:r>
    </w:p>
    <w:p w14:paraId="0DFED6AF" w14:textId="77777777" w:rsidR="00B01586" w:rsidRPr="0018431D" w:rsidRDefault="00B01586" w:rsidP="000B1D13">
      <w:pPr>
        <w:spacing w:after="0"/>
        <w:jc w:val="both"/>
        <w:rPr>
          <w:rFonts w:cs="Arial"/>
          <w:color w:val="000000" w:themeColor="text1"/>
        </w:rPr>
      </w:pPr>
    </w:p>
    <w:p w14:paraId="3EDB5331" w14:textId="6B7C3732" w:rsidR="002551BF" w:rsidRDefault="002551BF" w:rsidP="00AD69EF">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7</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 xml:space="preserve">PUCCH resource </w:t>
      </w:r>
      <w:r w:rsidRPr="006923D4">
        <w:rPr>
          <w:rFonts w:cs="Arial"/>
          <w:i/>
          <w:color w:val="000000" w:themeColor="text1"/>
          <w:lang w:val="en-US"/>
        </w:rPr>
        <w:t>configuration</w:t>
      </w:r>
      <w:r w:rsidR="006923D4" w:rsidRPr="006923D4">
        <w:rPr>
          <w:rFonts w:cs="Arial"/>
          <w:i/>
          <w:color w:val="000000" w:themeColor="text1"/>
          <w:lang w:val="en-US"/>
        </w:rPr>
        <w:t xml:space="preserve"> in frequency domain</w:t>
      </w:r>
      <w:r w:rsidRPr="006923D4">
        <w:rPr>
          <w:rFonts w:cs="Arial"/>
          <w:i/>
          <w:color w:val="000000" w:themeColor="text1"/>
          <w:lang w:val="en-US"/>
        </w:rPr>
        <w:t xml:space="preserve"> is </w:t>
      </w:r>
      <w:r w:rsidR="00B43DF8">
        <w:rPr>
          <w:rFonts w:cs="Arial"/>
          <w:i/>
          <w:color w:val="000000" w:themeColor="text1"/>
          <w:lang w:val="en-US"/>
        </w:rPr>
        <w:t>enhanced to ensure sufficient number of PUCCH resources on each BWP sub-band.</w:t>
      </w:r>
      <w:r w:rsidRPr="006923D4">
        <w:rPr>
          <w:rFonts w:cs="Arial"/>
          <w:i/>
          <w:color w:val="000000" w:themeColor="text1"/>
          <w:lang w:val="en-US"/>
        </w:rPr>
        <w:t xml:space="preserve"> </w:t>
      </w:r>
    </w:p>
    <w:p w14:paraId="3CF8454D" w14:textId="19AF5CAD" w:rsidR="00B01586" w:rsidRDefault="00B01586" w:rsidP="000B1D13">
      <w:pPr>
        <w:pStyle w:val="Caption"/>
        <w:jc w:val="center"/>
      </w:pPr>
      <w:r w:rsidRPr="00B01586">
        <w:rPr>
          <w:noProof/>
        </w:rPr>
        <w:drawing>
          <wp:inline distT="0" distB="0" distL="0" distR="0" wp14:anchorId="04C5097C" wp14:editId="011510F1">
            <wp:extent cx="4664386" cy="3070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1616665C" w14:textId="54A84696" w:rsidR="0018431D" w:rsidRPr="000B1D13" w:rsidRDefault="00B01586" w:rsidP="000B1D13">
      <w:pPr>
        <w:pStyle w:val="Caption"/>
        <w:jc w:val="center"/>
        <w:rPr>
          <w:rFonts w:cs="Arial"/>
          <w:color w:val="000000" w:themeColor="text1"/>
          <w:lang w:val="en-US"/>
        </w:rPr>
      </w:pPr>
      <w:r>
        <w:t xml:space="preserve">Figure 5. An example of PUCCH resource shortage on BWP operation </w:t>
      </w:r>
    </w:p>
    <w:p w14:paraId="0D827FAF" w14:textId="175EEF23" w:rsidR="0034111C" w:rsidRPr="00A51522" w:rsidRDefault="00EE7FA7">
      <w:pPr>
        <w:pStyle w:val="Heading1"/>
        <w:rPr>
          <w:color w:val="000000"/>
        </w:rPr>
      </w:pPr>
      <w:r w:rsidRPr="00A51522">
        <w:rPr>
          <w:color w:val="000000"/>
        </w:rPr>
        <w:lastRenderedPageBreak/>
        <w:t>Conclusion</w:t>
      </w:r>
      <w:r w:rsidR="00DB39D4" w:rsidRPr="00A51522">
        <w:rPr>
          <w:color w:val="000000"/>
        </w:rPr>
        <w:t>s</w:t>
      </w:r>
    </w:p>
    <w:p w14:paraId="626917E1" w14:textId="3008C198"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03C5E3E6" w14:textId="612B9F34" w:rsidR="007027E0" w:rsidRPr="00F80F28" w:rsidRDefault="007027E0" w:rsidP="007027E0">
      <w:pPr>
        <w:jc w:val="both"/>
        <w:rPr>
          <w:i/>
          <w:color w:val="000000" w:themeColor="text1"/>
          <w:lang w:val="en-US"/>
        </w:rPr>
      </w:pPr>
      <w:r>
        <w:rPr>
          <w:b/>
          <w:i/>
          <w:color w:val="000000" w:themeColor="text1"/>
          <w:lang w:val="en-US"/>
        </w:rPr>
        <w:t xml:space="preserve">Observation </w:t>
      </w:r>
      <w:r w:rsidRPr="00F80F28">
        <w:rPr>
          <w:b/>
          <w:i/>
          <w:color w:val="000000" w:themeColor="text1"/>
          <w:lang w:val="en-US"/>
        </w:rPr>
        <w:t>1</w:t>
      </w:r>
      <w:r w:rsidRPr="00F80F28">
        <w:rPr>
          <w:i/>
          <w:color w:val="000000" w:themeColor="text1"/>
          <w:lang w:val="en-US"/>
        </w:rPr>
        <w:t>: RAN4 considers Option 3</w:t>
      </w:r>
      <w:r>
        <w:rPr>
          <w:i/>
          <w:color w:val="000000" w:themeColor="text1"/>
          <w:lang w:val="en-US"/>
        </w:rPr>
        <w:t xml:space="preserve"> as</w:t>
      </w:r>
      <w:r w:rsidRPr="00F80F28">
        <w:rPr>
          <w:i/>
          <w:color w:val="000000" w:themeColor="text1"/>
          <w:lang w:val="en-US"/>
        </w:rPr>
        <w:t xml:space="preserve"> feasib</w:t>
      </w:r>
      <w:r>
        <w:rPr>
          <w:i/>
          <w:color w:val="000000" w:themeColor="text1"/>
          <w:lang w:val="en-US"/>
        </w:rPr>
        <w:t xml:space="preserve">le with restriction that the parts of the active BWP are contiguous in frequency. </w:t>
      </w:r>
    </w:p>
    <w:p w14:paraId="59C49D3C" w14:textId="77777777" w:rsidR="007027E0" w:rsidRPr="00670720" w:rsidRDefault="007027E0" w:rsidP="007027E0">
      <w:pPr>
        <w:jc w:val="both"/>
        <w:rPr>
          <w:rFonts w:cs="Arial"/>
          <w:i/>
          <w:color w:val="000000" w:themeColor="text1"/>
          <w:lang w:val="en-US"/>
        </w:rPr>
      </w:pPr>
      <w:r w:rsidRPr="00670720">
        <w:rPr>
          <w:rFonts w:cs="Arial"/>
          <w:b/>
          <w:i/>
          <w:color w:val="000000" w:themeColor="text1"/>
          <w:lang w:val="en-US"/>
        </w:rPr>
        <w:t>Proposal</w:t>
      </w:r>
      <w:r>
        <w:rPr>
          <w:rFonts w:cs="Arial"/>
          <w:b/>
          <w:i/>
          <w:color w:val="000000" w:themeColor="text1"/>
          <w:lang w:val="en-US"/>
        </w:rPr>
        <w:t xml:space="preserve"> 1</w:t>
      </w:r>
      <w:r w:rsidRPr="00670720">
        <w:rPr>
          <w:rFonts w:cs="Arial"/>
          <w:b/>
          <w:i/>
          <w:color w:val="000000" w:themeColor="text1"/>
          <w:lang w:val="en-US"/>
        </w:rPr>
        <w:t>:</w:t>
      </w:r>
      <w:r w:rsidRPr="00670720">
        <w:rPr>
          <w:rFonts w:cs="Arial"/>
          <w:i/>
          <w:color w:val="000000" w:themeColor="text1"/>
          <w:lang w:val="en-US"/>
        </w:rPr>
        <w:t xml:space="preserve"> BWP frame-work designed in R15 is supported as baseline, NR-U </w:t>
      </w:r>
      <w:r>
        <w:rPr>
          <w:rFonts w:cs="Arial"/>
          <w:i/>
          <w:color w:val="000000" w:themeColor="text1"/>
          <w:lang w:val="en-US"/>
        </w:rPr>
        <w:t xml:space="preserve">transmission-BW aspects </w:t>
      </w:r>
      <w:r w:rsidRPr="00670720">
        <w:rPr>
          <w:rFonts w:cs="Arial"/>
          <w:i/>
          <w:color w:val="000000" w:themeColor="text1"/>
          <w:lang w:val="en-US"/>
        </w:rPr>
        <w:t xml:space="preserve">related to LBT are considered on top of the baseline.  </w:t>
      </w:r>
    </w:p>
    <w:p w14:paraId="66D0E6DA" w14:textId="77777777" w:rsidR="007027E0" w:rsidRPr="00F80F28" w:rsidRDefault="007027E0" w:rsidP="007027E0">
      <w:pPr>
        <w:spacing w:after="0"/>
        <w:jc w:val="both"/>
        <w:rPr>
          <w:i/>
          <w:color w:val="000000" w:themeColor="text1"/>
          <w:lang w:val="en-US"/>
        </w:rPr>
      </w:pPr>
      <w:r w:rsidRPr="00F80F28">
        <w:rPr>
          <w:b/>
          <w:i/>
          <w:color w:val="000000" w:themeColor="text1"/>
          <w:lang w:val="en-US"/>
        </w:rPr>
        <w:t>Proposal 2:</w:t>
      </w:r>
      <w:r w:rsidRPr="00F80F28">
        <w:rPr>
          <w:i/>
          <w:color w:val="000000" w:themeColor="text1"/>
          <w:lang w:val="en-US"/>
        </w:rPr>
        <w:t xml:space="preserve"> </w:t>
      </w:r>
      <w:r>
        <w:rPr>
          <w:i/>
          <w:color w:val="000000" w:themeColor="text1"/>
          <w:lang w:val="en-US"/>
        </w:rPr>
        <w:t xml:space="preserve">Down-select </w:t>
      </w:r>
      <w:r w:rsidRPr="00F80F28">
        <w:rPr>
          <w:i/>
          <w:color w:val="000000" w:themeColor="text1"/>
          <w:lang w:val="en-US"/>
        </w:rPr>
        <w:t>Option 3 in both DL and UL with the following update</w:t>
      </w:r>
      <w:r>
        <w:rPr>
          <w:i/>
          <w:color w:val="000000" w:themeColor="text1"/>
          <w:lang w:val="en-US"/>
        </w:rPr>
        <w:t>:</w:t>
      </w:r>
    </w:p>
    <w:p w14:paraId="77353426" w14:textId="77777777" w:rsidR="007027E0" w:rsidRPr="00F80F28" w:rsidRDefault="007027E0" w:rsidP="007027E0">
      <w:pPr>
        <w:spacing w:after="120"/>
        <w:ind w:left="568"/>
        <w:rPr>
          <w:rFonts w:eastAsia="Times New Roman"/>
          <w:i/>
          <w:lang w:val="en-US"/>
        </w:rPr>
      </w:pPr>
      <w:r w:rsidRPr="00F80F28">
        <w:rPr>
          <w:rFonts w:eastAsia="ヒラギノ角ゴ Pro W3"/>
          <w:i/>
          <w:kern w:val="24"/>
        </w:rPr>
        <w:t xml:space="preserve">Option 3: Multiple BWPs can be configured, single BWP activated, gNB transmits PDSCH on </w:t>
      </w:r>
      <w:r w:rsidRPr="00F80F28">
        <w:rPr>
          <w:rFonts w:eastAsia="ヒラギノ角ゴ Pro W3"/>
          <w:i/>
          <w:color w:val="FF0000"/>
          <w:kern w:val="24"/>
        </w:rPr>
        <w:t>contiguous</w:t>
      </w:r>
      <w:r w:rsidRPr="00F80F28">
        <w:rPr>
          <w:rFonts w:eastAsia="ヒラギノ角ゴ Pro W3"/>
          <w:i/>
          <w:kern w:val="24"/>
        </w:rPr>
        <w:t xml:space="preserve"> parts or whole of single BWP where CCA is successful at gNB</w:t>
      </w:r>
    </w:p>
    <w:p w14:paraId="4F1E98C7" w14:textId="77777777" w:rsidR="007027E0" w:rsidRPr="00A60F5C" w:rsidRDefault="007027E0" w:rsidP="007027E0">
      <w:pPr>
        <w:jc w:val="both"/>
        <w:rPr>
          <w:i/>
          <w:color w:val="000000"/>
        </w:rPr>
      </w:pPr>
      <w:r w:rsidRPr="0048748C">
        <w:rPr>
          <w:b/>
          <w:i/>
          <w:color w:val="000000"/>
        </w:rPr>
        <w:t>Observation</w:t>
      </w:r>
      <w:r>
        <w:rPr>
          <w:b/>
          <w:i/>
          <w:color w:val="000000"/>
        </w:rPr>
        <w:t xml:space="preserve"> 2</w:t>
      </w:r>
      <w:r w:rsidRPr="0048748C">
        <w:rPr>
          <w:b/>
          <w:i/>
          <w:color w:val="000000"/>
        </w:rPr>
        <w:t>:</w:t>
      </w:r>
      <w:r w:rsidRPr="0048748C">
        <w:rPr>
          <w:i/>
          <w:color w:val="000000"/>
        </w:rPr>
        <w:t xml:space="preserve"> NR-licensed DL control structures are not directly applicable to BWPs </w:t>
      </w:r>
      <w:r w:rsidRPr="0078656D">
        <w:rPr>
          <w:i/>
          <w:color w:val="000000"/>
        </w:rPr>
        <w:t>spanning multiple sub-bands.</w:t>
      </w:r>
      <w:r w:rsidRPr="00A60F5C">
        <w:rPr>
          <w:i/>
          <w:color w:val="000000"/>
        </w:rPr>
        <w:t xml:space="preserve">    </w:t>
      </w:r>
    </w:p>
    <w:p w14:paraId="63D7F79D" w14:textId="77777777" w:rsidR="007027E0" w:rsidRPr="00A3156C" w:rsidRDefault="007027E0" w:rsidP="007027E0">
      <w:pPr>
        <w:jc w:val="both"/>
        <w:rPr>
          <w:i/>
          <w:color w:val="000000"/>
        </w:rPr>
      </w:pPr>
      <w:r w:rsidRPr="0048748C">
        <w:rPr>
          <w:b/>
          <w:i/>
          <w:color w:val="000000"/>
        </w:rPr>
        <w:t>Observation</w:t>
      </w:r>
      <w:r>
        <w:rPr>
          <w:b/>
          <w:i/>
          <w:color w:val="000000"/>
        </w:rPr>
        <w:t xml:space="preserve"> 3</w:t>
      </w:r>
      <w:r w:rsidRPr="0048748C">
        <w:rPr>
          <w:i/>
          <w:color w:val="000000"/>
        </w:rPr>
        <w:t xml:space="preserve">: Restriction of CORESET configuration into a sub-band </w:t>
      </w:r>
      <w:r>
        <w:rPr>
          <w:i/>
          <w:color w:val="000000"/>
        </w:rPr>
        <w:t>increases</w:t>
      </w:r>
      <w:r w:rsidRPr="0048748C">
        <w:rPr>
          <w:i/>
          <w:color w:val="000000"/>
        </w:rPr>
        <w:t xml:space="preserve"> the RRC signalling overhead and implementation complexity.</w:t>
      </w:r>
    </w:p>
    <w:p w14:paraId="0360EAC1" w14:textId="1F297004" w:rsidR="007027E0" w:rsidRPr="00C53A37" w:rsidRDefault="007027E0" w:rsidP="007027E0">
      <w:pPr>
        <w:spacing w:after="0"/>
        <w:jc w:val="both"/>
        <w:rPr>
          <w:i/>
          <w:color w:val="000000"/>
        </w:rPr>
      </w:pPr>
      <w:r>
        <w:rPr>
          <w:b/>
          <w:i/>
          <w:color w:val="000000"/>
        </w:rPr>
        <w:t>Proposal 3</w:t>
      </w:r>
      <w:r w:rsidRPr="00C53A37">
        <w:rPr>
          <w:b/>
          <w:i/>
          <w:color w:val="000000"/>
        </w:rPr>
        <w:t>:</w:t>
      </w:r>
      <w:r>
        <w:rPr>
          <w:b/>
          <w:i/>
          <w:color w:val="000000"/>
        </w:rPr>
        <w:t xml:space="preserve"> </w:t>
      </w:r>
      <w:r w:rsidRPr="00C53A37">
        <w:rPr>
          <w:i/>
          <w:color w:val="000000"/>
        </w:rPr>
        <w:t>If BWP operation according to</w:t>
      </w:r>
      <w:r>
        <w:rPr>
          <w:i/>
          <w:color w:val="000000"/>
        </w:rPr>
        <w:t xml:space="preserve"> modified</w:t>
      </w:r>
      <w:r w:rsidRPr="00C53A37">
        <w:rPr>
          <w:i/>
          <w:color w:val="000000"/>
        </w:rPr>
        <w:t xml:space="preserve"> Option 3 is supported, existing DL control structures (CORESET</w:t>
      </w:r>
      <w:r>
        <w:rPr>
          <w:i/>
          <w:color w:val="000000"/>
        </w:rPr>
        <w:t>s</w:t>
      </w:r>
      <w:r w:rsidRPr="00C53A37">
        <w:rPr>
          <w:i/>
          <w:color w:val="000000"/>
        </w:rPr>
        <w:t xml:space="preserve"> and search-spaces) can be reused with the following</w:t>
      </w:r>
      <w:r>
        <w:rPr>
          <w:i/>
          <w:color w:val="000000"/>
        </w:rPr>
        <w:t xml:space="preserve"> </w:t>
      </w:r>
      <w:r w:rsidRPr="00C53A37">
        <w:rPr>
          <w:i/>
          <w:color w:val="000000"/>
        </w:rPr>
        <w:t>modifications</w:t>
      </w:r>
      <w:r>
        <w:rPr>
          <w:i/>
          <w:color w:val="000000"/>
        </w:rPr>
        <w:t>:</w:t>
      </w:r>
    </w:p>
    <w:p w14:paraId="381AB106" w14:textId="77777777" w:rsidR="007027E0" w:rsidRPr="00C53A37" w:rsidRDefault="007027E0" w:rsidP="007027E0">
      <w:pPr>
        <w:pStyle w:val="ListParagraph"/>
        <w:numPr>
          <w:ilvl w:val="0"/>
          <w:numId w:val="11"/>
        </w:numPr>
        <w:jc w:val="both"/>
        <w:rPr>
          <w:i/>
          <w:color w:val="000000"/>
          <w:lang w:val="en-US"/>
        </w:rPr>
      </w:pPr>
      <w:r w:rsidRPr="00C53A37">
        <w:rPr>
          <w:i/>
          <w:color w:val="000000"/>
          <w:sz w:val="20"/>
          <w:szCs w:val="20"/>
          <w:lang w:val="en-US"/>
        </w:rPr>
        <w:t>CORESET configuration bit</w:t>
      </w:r>
      <w:r>
        <w:rPr>
          <w:i/>
          <w:color w:val="000000"/>
          <w:sz w:val="20"/>
          <w:szCs w:val="20"/>
          <w:lang w:val="en-US"/>
        </w:rPr>
        <w:t>map</w:t>
      </w:r>
      <w:r w:rsidRPr="00C53A37">
        <w:rPr>
          <w:i/>
          <w:color w:val="000000"/>
          <w:sz w:val="20"/>
          <w:szCs w:val="20"/>
          <w:lang w:val="en-US"/>
        </w:rPr>
        <w:t xml:space="preserve"> </w:t>
      </w:r>
      <w:r>
        <w:rPr>
          <w:i/>
          <w:color w:val="000000"/>
          <w:sz w:val="20"/>
          <w:szCs w:val="20"/>
          <w:lang w:val="en-US"/>
        </w:rPr>
        <w:t>shall</w:t>
      </w:r>
      <w:r w:rsidRPr="00C53A37">
        <w:rPr>
          <w:i/>
          <w:color w:val="000000"/>
          <w:sz w:val="20"/>
          <w:szCs w:val="20"/>
          <w:lang w:val="en-US"/>
        </w:rPr>
        <w:t xml:space="preserve"> take into account the potential guard-bands and</w:t>
      </w:r>
      <w:r>
        <w:rPr>
          <w:i/>
          <w:color w:val="000000"/>
          <w:sz w:val="20"/>
          <w:szCs w:val="20"/>
          <w:lang w:val="en-US"/>
        </w:rPr>
        <w:t xml:space="preserve"> existing</w:t>
      </w:r>
      <w:r w:rsidRPr="00C53A37">
        <w:rPr>
          <w:i/>
          <w:color w:val="000000"/>
          <w:sz w:val="20"/>
          <w:szCs w:val="20"/>
          <w:lang w:val="en-US"/>
        </w:rPr>
        <w:t xml:space="preserve"> sub-band boundaries</w:t>
      </w:r>
      <w:r>
        <w:rPr>
          <w:i/>
          <w:color w:val="000000"/>
          <w:sz w:val="20"/>
          <w:szCs w:val="20"/>
          <w:lang w:val="en-US"/>
        </w:rPr>
        <w:t>.</w:t>
      </w:r>
    </w:p>
    <w:p w14:paraId="730614E2" w14:textId="77777777" w:rsidR="007027E0" w:rsidRPr="00733BA5" w:rsidRDefault="007027E0" w:rsidP="007027E0">
      <w:pPr>
        <w:pStyle w:val="ListParagraph"/>
        <w:numPr>
          <w:ilvl w:val="0"/>
          <w:numId w:val="11"/>
        </w:numPr>
        <w:spacing w:after="240"/>
        <w:jc w:val="both"/>
        <w:rPr>
          <w:i/>
          <w:color w:val="000000"/>
          <w:lang w:val="en-US"/>
        </w:rPr>
      </w:pPr>
      <w:r w:rsidRPr="00C53A37">
        <w:rPr>
          <w:i/>
          <w:color w:val="000000"/>
          <w:sz w:val="20"/>
          <w:szCs w:val="20"/>
          <w:lang w:val="en-US"/>
        </w:rPr>
        <w:t xml:space="preserve">Search-space hashing operates </w:t>
      </w:r>
      <w:r>
        <w:rPr>
          <w:i/>
          <w:color w:val="000000"/>
          <w:sz w:val="20"/>
          <w:szCs w:val="20"/>
          <w:lang w:val="en-US"/>
        </w:rPr>
        <w:t>on</w:t>
      </w:r>
      <w:bookmarkStart w:id="1" w:name="_GoBack"/>
      <w:bookmarkEnd w:id="1"/>
      <w:r>
        <w:rPr>
          <w:i/>
          <w:color w:val="000000"/>
          <w:sz w:val="20"/>
          <w:szCs w:val="20"/>
          <w:lang w:val="en-US"/>
        </w:rPr>
        <w:t xml:space="preserve"> CCEs of a CORESET within each sub-band.</w:t>
      </w:r>
      <w:r w:rsidRPr="00C53A37">
        <w:rPr>
          <w:i/>
          <w:color w:val="000000"/>
          <w:sz w:val="20"/>
          <w:szCs w:val="20"/>
          <w:lang w:val="en-US"/>
        </w:rPr>
        <w:t xml:space="preserve"> </w:t>
      </w:r>
    </w:p>
    <w:p w14:paraId="4B5C1CE9" w14:textId="77777777" w:rsidR="007027E0" w:rsidRDefault="007027E0" w:rsidP="007027E0">
      <w:pPr>
        <w:jc w:val="both"/>
        <w:rPr>
          <w:i/>
          <w:color w:val="000000"/>
        </w:rPr>
      </w:pPr>
      <w:r w:rsidRPr="00C53A37">
        <w:rPr>
          <w:b/>
          <w:i/>
          <w:lang w:val="en-US"/>
        </w:rPr>
        <w:t xml:space="preserve">Proposal </w:t>
      </w:r>
      <w:r>
        <w:rPr>
          <w:b/>
          <w:i/>
          <w:lang w:val="en-US"/>
        </w:rPr>
        <w:t>4</w:t>
      </w:r>
      <w:r w:rsidRPr="006F0024">
        <w:rPr>
          <w:b/>
          <w:i/>
          <w:lang w:val="en-US"/>
        </w:rPr>
        <w:t xml:space="preserve">: </w:t>
      </w:r>
      <w:r w:rsidRPr="00123D8F">
        <w:rPr>
          <w:i/>
          <w:color w:val="000000"/>
        </w:rPr>
        <w:t>If BWP operation according to</w:t>
      </w:r>
      <w:r>
        <w:rPr>
          <w:i/>
          <w:color w:val="000000"/>
        </w:rPr>
        <w:t xml:space="preserve"> modified</w:t>
      </w:r>
      <w:r w:rsidRPr="00123D8F">
        <w:rPr>
          <w:i/>
          <w:color w:val="000000"/>
        </w:rPr>
        <w:t xml:space="preserve"> Option 3 is supported</w:t>
      </w:r>
      <w:r>
        <w:rPr>
          <w:i/>
          <w:color w:val="000000"/>
        </w:rPr>
        <w:t>, for transmissions preceded by CAT2 or CAT4 LBT, a UE/gNB transmits/receives one TB per sub-band in the first/partial slot(s) of a COT, in later consecutive slots TB may span over multiple sub-bands of a BWP.</w:t>
      </w:r>
    </w:p>
    <w:p w14:paraId="27CDE565" w14:textId="77777777" w:rsidR="007027E0" w:rsidRPr="00D53D4C" w:rsidRDefault="007027E0" w:rsidP="007027E0">
      <w:pPr>
        <w:jc w:val="both"/>
        <w:rPr>
          <w:b/>
          <w:i/>
          <w:lang w:val="en-US"/>
        </w:rPr>
      </w:pPr>
      <w:r w:rsidRPr="00C53A37">
        <w:rPr>
          <w:b/>
          <w:i/>
          <w:lang w:val="en-US"/>
        </w:rPr>
        <w:t xml:space="preserve">Proposal </w:t>
      </w:r>
      <w:r>
        <w:rPr>
          <w:b/>
          <w:i/>
          <w:lang w:val="en-US"/>
        </w:rPr>
        <w:t>5</w:t>
      </w:r>
      <w:r w:rsidRPr="006F0024">
        <w:rPr>
          <w:b/>
          <w:i/>
          <w:lang w:val="en-US"/>
        </w:rPr>
        <w:t xml:space="preserve">: </w:t>
      </w:r>
      <w:r w:rsidRPr="00123D8F">
        <w:rPr>
          <w:i/>
          <w:color w:val="000000"/>
        </w:rPr>
        <w:t>If BWP operation according to</w:t>
      </w:r>
      <w:r>
        <w:rPr>
          <w:i/>
          <w:color w:val="000000"/>
        </w:rPr>
        <w:t xml:space="preserve"> modified</w:t>
      </w:r>
      <w:r w:rsidRPr="00123D8F">
        <w:rPr>
          <w:i/>
          <w:color w:val="000000"/>
        </w:rPr>
        <w:t xml:space="preserve"> Option 3 is supported</w:t>
      </w:r>
      <w:r>
        <w:rPr>
          <w:i/>
          <w:color w:val="000000"/>
        </w:rPr>
        <w:t>, for PUSCH transmissions preceded by CAT1 LBT in shared gNB COT, a UE/gNB may transmit/receive one TB across multiple sub-bands of a BWP.</w:t>
      </w:r>
    </w:p>
    <w:p w14:paraId="20E629DC" w14:textId="77777777" w:rsidR="007027E0" w:rsidRDefault="007027E0" w:rsidP="007027E0">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6</w:t>
      </w:r>
      <w:r w:rsidRPr="00FF5F6C">
        <w:rPr>
          <w:rFonts w:cs="Arial"/>
          <w:b/>
          <w:i/>
          <w:color w:val="000000" w:themeColor="text1"/>
          <w:lang w:val="en-US"/>
        </w:rPr>
        <w:t>:</w:t>
      </w:r>
      <w:r w:rsidRPr="00FF5F6C">
        <w:rPr>
          <w:rFonts w:cs="Arial"/>
          <w:i/>
          <w:color w:val="000000" w:themeColor="text1"/>
          <w:lang w:val="en-US"/>
        </w:rPr>
        <w:t xml:space="preserve"> For WB operation according to</w:t>
      </w:r>
      <w:r>
        <w:rPr>
          <w:rFonts w:cs="Arial"/>
          <w:i/>
          <w:color w:val="000000" w:themeColor="text1"/>
          <w:lang w:val="en-US"/>
        </w:rPr>
        <w:t xml:space="preserve"> modified</w:t>
      </w:r>
      <w:r w:rsidRPr="00FF5F6C">
        <w:rPr>
          <w:rFonts w:cs="Arial"/>
          <w:i/>
          <w:color w:val="000000" w:themeColor="text1"/>
          <w:lang w:val="en-US"/>
        </w:rPr>
        <w:t xml:space="preserve"> Option3, </w:t>
      </w:r>
      <w:r>
        <w:rPr>
          <w:i/>
          <w:color w:val="000000"/>
        </w:rPr>
        <w:t>for transmissions preceded by CAT2 or CAT4 LBT,</w:t>
      </w:r>
      <w:r w:rsidRPr="00FF5F6C">
        <w:rPr>
          <w:rFonts w:cs="Arial"/>
          <w:i/>
          <w:color w:val="000000" w:themeColor="text1"/>
          <w:lang w:val="en-US"/>
        </w:rPr>
        <w:t xml:space="preserve"> in case of contiguous multi-PUSCH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38E0B26A" w14:textId="77777777" w:rsidR="007027E0" w:rsidRDefault="007027E0" w:rsidP="007027E0">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7</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 xml:space="preserve">PUCCH resource </w:t>
      </w:r>
      <w:r w:rsidRPr="006923D4">
        <w:rPr>
          <w:rFonts w:cs="Arial"/>
          <w:i/>
          <w:color w:val="000000" w:themeColor="text1"/>
          <w:lang w:val="en-US"/>
        </w:rPr>
        <w:t xml:space="preserve">configuration in frequency domain is </w:t>
      </w:r>
      <w:r>
        <w:rPr>
          <w:rFonts w:cs="Arial"/>
          <w:i/>
          <w:color w:val="000000" w:themeColor="text1"/>
          <w:lang w:val="en-US"/>
        </w:rPr>
        <w:t>enhanced to ensure sufficient number of PUCCH resources on each BWP sub-band.</w:t>
      </w:r>
      <w:r w:rsidRPr="006923D4">
        <w:rPr>
          <w:rFonts w:cs="Arial"/>
          <w:i/>
          <w:color w:val="000000" w:themeColor="text1"/>
          <w:lang w:val="en-US"/>
        </w:rPr>
        <w:t xml:space="preserve"> </w:t>
      </w:r>
    </w:p>
    <w:p w14:paraId="2F0729C1" w14:textId="77777777" w:rsidR="0034111C" w:rsidRPr="00A51522" w:rsidRDefault="0034111C">
      <w:pPr>
        <w:pStyle w:val="Heading1"/>
      </w:pPr>
      <w:r w:rsidRPr="00A51522">
        <w:t>References</w:t>
      </w:r>
      <w:r w:rsidR="00A2459D" w:rsidRPr="00A51522">
        <w:t xml:space="preserve"> </w:t>
      </w:r>
    </w:p>
    <w:p w14:paraId="40D99FF0" w14:textId="3BBB992E" w:rsidR="00055676" w:rsidRDefault="00211030" w:rsidP="00211030">
      <w:pPr>
        <w:numPr>
          <w:ilvl w:val="0"/>
          <w:numId w:val="1"/>
        </w:numPr>
        <w:rPr>
          <w:sz w:val="18"/>
          <w:szCs w:val="18"/>
        </w:rPr>
      </w:pPr>
      <w:bookmarkStart w:id="2" w:name="_Ref534191929"/>
      <w:r w:rsidRPr="00211030">
        <w:rPr>
          <w:sz w:val="18"/>
          <w:szCs w:val="18"/>
          <w:lang w:eastAsia="zh-CN"/>
        </w:rPr>
        <w:t>RP-182878</w:t>
      </w:r>
      <w:r w:rsidR="1CEFF1BD" w:rsidRPr="1CEFF1BD">
        <w:rPr>
          <w:sz w:val="18"/>
          <w:szCs w:val="18"/>
          <w:lang w:eastAsia="zh-CN"/>
        </w:rPr>
        <w:t>, “</w:t>
      </w:r>
      <w:r w:rsidR="002C28CE" w:rsidRPr="002C28CE">
        <w:rPr>
          <w:i/>
          <w:iCs/>
          <w:sz w:val="18"/>
          <w:szCs w:val="18"/>
          <w:lang w:eastAsia="zh-CN"/>
        </w:rPr>
        <w:t>New WID on NR-based Access to Unlicensed Spectrum</w:t>
      </w:r>
      <w:r w:rsidR="1CEFF1BD" w:rsidRPr="1CEFF1BD">
        <w:rPr>
          <w:sz w:val="18"/>
          <w:szCs w:val="18"/>
          <w:lang w:eastAsia="zh-CN"/>
        </w:rPr>
        <w:t>”, Qualcomm</w:t>
      </w:r>
      <w:bookmarkEnd w:id="2"/>
    </w:p>
    <w:p w14:paraId="40B72526" w14:textId="026EC6FC" w:rsidR="002C28CE" w:rsidRDefault="00211030" w:rsidP="00211030">
      <w:pPr>
        <w:numPr>
          <w:ilvl w:val="0"/>
          <w:numId w:val="1"/>
        </w:numPr>
        <w:rPr>
          <w:sz w:val="18"/>
          <w:szCs w:val="18"/>
        </w:rPr>
      </w:pPr>
      <w:bookmarkStart w:id="3" w:name="_Ref534191941"/>
      <w:r>
        <w:rPr>
          <w:sz w:val="18"/>
          <w:szCs w:val="18"/>
        </w:rPr>
        <w:t>TR 38.889, “</w:t>
      </w:r>
      <w:r w:rsidRPr="00211030">
        <w:rPr>
          <w:i/>
          <w:sz w:val="18"/>
          <w:szCs w:val="18"/>
        </w:rPr>
        <w:t>Study on NR-based access to unlicensed spectrum (Release 16)</w:t>
      </w:r>
      <w:r>
        <w:rPr>
          <w:sz w:val="18"/>
          <w:szCs w:val="18"/>
        </w:rPr>
        <w:t>”, 3GPP v16</w:t>
      </w:r>
      <w:bookmarkEnd w:id="3"/>
    </w:p>
    <w:p w14:paraId="0FE76431" w14:textId="533E5B8F" w:rsidR="00965609" w:rsidRPr="00ED270C" w:rsidRDefault="00965609">
      <w:pPr>
        <w:numPr>
          <w:ilvl w:val="0"/>
          <w:numId w:val="1"/>
        </w:numPr>
        <w:rPr>
          <w:sz w:val="18"/>
          <w:szCs w:val="18"/>
        </w:rPr>
      </w:pPr>
      <w:bookmarkStart w:id="4" w:name="_Ref534191950"/>
      <w:r w:rsidRPr="00A3048F">
        <w:rPr>
          <w:sz w:val="18"/>
          <w:szCs w:val="18"/>
          <w:lang w:eastAsia="zh-CN"/>
        </w:rPr>
        <w:t>3GPP, “RAN1 Chairman’s Notes”, RAN1#</w:t>
      </w:r>
      <w:r w:rsidR="00BA5BDA" w:rsidRPr="00A3048F">
        <w:rPr>
          <w:sz w:val="18"/>
          <w:szCs w:val="18"/>
          <w:lang w:eastAsia="zh-CN"/>
        </w:rPr>
        <w:t>92bis</w:t>
      </w:r>
      <w:bookmarkEnd w:id="4"/>
    </w:p>
    <w:p w14:paraId="4C5F0740" w14:textId="45BE439E" w:rsidR="00BA5BDA" w:rsidRDefault="00BA5BDA">
      <w:pPr>
        <w:numPr>
          <w:ilvl w:val="0"/>
          <w:numId w:val="1"/>
        </w:numPr>
        <w:rPr>
          <w:sz w:val="18"/>
          <w:szCs w:val="18"/>
        </w:rPr>
      </w:pPr>
      <w:bookmarkStart w:id="5" w:name="_Ref534191957"/>
      <w:r w:rsidRPr="00A3048F">
        <w:rPr>
          <w:sz w:val="18"/>
          <w:szCs w:val="18"/>
          <w:lang w:eastAsia="zh-CN"/>
        </w:rPr>
        <w:t>3GPP, “RAN1 Chairman’s Notes”, RAN1#93</w:t>
      </w:r>
      <w:bookmarkEnd w:id="5"/>
    </w:p>
    <w:p w14:paraId="4C0D58F4" w14:textId="7FA3238C" w:rsidR="00011A68" w:rsidRDefault="00011A68" w:rsidP="00011A68">
      <w:pPr>
        <w:numPr>
          <w:ilvl w:val="0"/>
          <w:numId w:val="1"/>
        </w:numPr>
        <w:rPr>
          <w:sz w:val="18"/>
          <w:szCs w:val="18"/>
        </w:rPr>
      </w:pPr>
      <w:bookmarkStart w:id="6" w:name="_Ref534191970"/>
      <w:r w:rsidRPr="00A3048F">
        <w:rPr>
          <w:sz w:val="18"/>
          <w:szCs w:val="18"/>
          <w:lang w:eastAsia="zh-CN"/>
        </w:rPr>
        <w:t>3GPP, “RAN1 Chairman’s Notes”, RAN1#9</w:t>
      </w:r>
      <w:r>
        <w:rPr>
          <w:sz w:val="18"/>
          <w:szCs w:val="18"/>
          <w:lang w:eastAsia="zh-CN"/>
        </w:rPr>
        <w:t>4</w:t>
      </w:r>
      <w:bookmarkEnd w:id="6"/>
    </w:p>
    <w:p w14:paraId="0E45626F" w14:textId="4D18EBB6" w:rsidR="00F8531A" w:rsidRDefault="00F8531A" w:rsidP="00F8531A">
      <w:pPr>
        <w:numPr>
          <w:ilvl w:val="0"/>
          <w:numId w:val="1"/>
        </w:numPr>
        <w:rPr>
          <w:sz w:val="18"/>
          <w:szCs w:val="18"/>
        </w:rPr>
      </w:pPr>
      <w:bookmarkStart w:id="7" w:name="_Ref534191975"/>
      <w:r w:rsidRPr="00A3048F">
        <w:rPr>
          <w:sz w:val="18"/>
          <w:szCs w:val="18"/>
          <w:lang w:eastAsia="zh-CN"/>
        </w:rPr>
        <w:t>3GPP, “RAN1 Chairman’s Notes”, RAN1#9</w:t>
      </w:r>
      <w:r>
        <w:rPr>
          <w:sz w:val="18"/>
          <w:szCs w:val="18"/>
          <w:lang w:eastAsia="zh-CN"/>
        </w:rPr>
        <w:t>4bis</w:t>
      </w:r>
      <w:bookmarkEnd w:id="7"/>
    </w:p>
    <w:p w14:paraId="50AA1E13" w14:textId="25A82746" w:rsidR="002C28CE" w:rsidRDefault="002C28CE">
      <w:pPr>
        <w:numPr>
          <w:ilvl w:val="0"/>
          <w:numId w:val="1"/>
        </w:numPr>
        <w:rPr>
          <w:sz w:val="18"/>
          <w:szCs w:val="18"/>
        </w:rPr>
      </w:pPr>
      <w:bookmarkStart w:id="8" w:name="_Ref534191982"/>
      <w:r w:rsidRPr="00A3048F">
        <w:rPr>
          <w:sz w:val="18"/>
          <w:szCs w:val="18"/>
          <w:lang w:eastAsia="zh-CN"/>
        </w:rPr>
        <w:t>3GPP, “RAN1 Chairman’s Notes”, RAN1#9</w:t>
      </w:r>
      <w:r w:rsidR="00211030">
        <w:rPr>
          <w:sz w:val="18"/>
          <w:szCs w:val="18"/>
          <w:lang w:eastAsia="zh-CN"/>
        </w:rPr>
        <w:t>5</w:t>
      </w:r>
      <w:bookmarkEnd w:id="8"/>
      <w:r w:rsidRPr="00A3048F">
        <w:rPr>
          <w:sz w:val="18"/>
          <w:szCs w:val="18"/>
          <w:lang w:eastAsia="zh-CN"/>
        </w:rPr>
        <w:t xml:space="preserve"> </w:t>
      </w:r>
    </w:p>
    <w:p w14:paraId="175975CA" w14:textId="5568B6CD" w:rsidR="007648A5" w:rsidRPr="00857984" w:rsidRDefault="007648A5" w:rsidP="007A774A">
      <w:pPr>
        <w:numPr>
          <w:ilvl w:val="0"/>
          <w:numId w:val="1"/>
        </w:numPr>
        <w:rPr>
          <w:sz w:val="18"/>
          <w:szCs w:val="18"/>
        </w:rPr>
      </w:pPr>
      <w:bookmarkStart w:id="9" w:name="_Ref534196039"/>
      <w:r w:rsidRPr="00857984">
        <w:rPr>
          <w:sz w:val="18"/>
          <w:szCs w:val="18"/>
        </w:rPr>
        <w:t>R4-1816658, “Reply LS on wideband carrier operation for NR-U”, Ericsson</w:t>
      </w:r>
      <w:bookmarkEnd w:id="9"/>
    </w:p>
    <w:p w14:paraId="4860A799" w14:textId="24F52863" w:rsidR="00554CD1" w:rsidRDefault="00554CD1" w:rsidP="00554CD1">
      <w:pPr>
        <w:numPr>
          <w:ilvl w:val="0"/>
          <w:numId w:val="1"/>
        </w:numPr>
        <w:rPr>
          <w:sz w:val="18"/>
          <w:szCs w:val="18"/>
        </w:rPr>
      </w:pPr>
      <w:bookmarkStart w:id="10" w:name="_Ref534199793"/>
      <w:r w:rsidRPr="00857984">
        <w:rPr>
          <w:sz w:val="18"/>
          <w:szCs w:val="18"/>
        </w:rPr>
        <w:t>R4-1803283, “</w:t>
      </w:r>
      <w:r w:rsidRPr="00857984">
        <w:rPr>
          <w:i/>
          <w:sz w:val="18"/>
          <w:szCs w:val="18"/>
        </w:rPr>
        <w:t>LS on BWP switching delay</w:t>
      </w:r>
      <w:r w:rsidRPr="00857984">
        <w:rPr>
          <w:sz w:val="18"/>
          <w:szCs w:val="18"/>
        </w:rPr>
        <w:t>”, Intel Corporation</w:t>
      </w:r>
      <w:bookmarkEnd w:id="10"/>
    </w:p>
    <w:p w14:paraId="6C1B16FC" w14:textId="248C16B3" w:rsidR="004F1117" w:rsidRPr="00857984" w:rsidRDefault="004F1117" w:rsidP="004F1117">
      <w:pPr>
        <w:numPr>
          <w:ilvl w:val="0"/>
          <w:numId w:val="1"/>
        </w:numPr>
        <w:rPr>
          <w:sz w:val="18"/>
          <w:szCs w:val="18"/>
        </w:rPr>
      </w:pPr>
      <w:bookmarkStart w:id="11" w:name="_Ref534830442"/>
      <w:r w:rsidRPr="004F1117">
        <w:rPr>
          <w:sz w:val="18"/>
          <w:szCs w:val="18"/>
        </w:rPr>
        <w:t>R1-1900348</w:t>
      </w:r>
      <w:r>
        <w:rPr>
          <w:sz w:val="18"/>
          <w:szCs w:val="18"/>
        </w:rPr>
        <w:t>, “</w:t>
      </w:r>
      <w:r w:rsidRPr="004F1117">
        <w:rPr>
          <w:i/>
          <w:sz w:val="18"/>
          <w:szCs w:val="18"/>
        </w:rPr>
        <w:t>On DL signals and channels</w:t>
      </w:r>
      <w:r>
        <w:rPr>
          <w:sz w:val="18"/>
          <w:szCs w:val="18"/>
        </w:rPr>
        <w:t>”, Nokia, Nokia Shanghai Bell</w:t>
      </w:r>
      <w:bookmarkEnd w:id="11"/>
    </w:p>
    <w:p w14:paraId="7DD24A02" w14:textId="29D4302B" w:rsidR="00E765C3" w:rsidRPr="00A51522" w:rsidRDefault="00E765C3" w:rsidP="00E765C3">
      <w:pPr>
        <w:pStyle w:val="Heading1"/>
      </w:pPr>
      <w:r>
        <w:lastRenderedPageBreak/>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MHz. </w:t>
      </w:r>
    </w:p>
    <w:p w14:paraId="35CDBF74"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FFS: details on how to perform LBT for as single carrier with bandwidth greater than 20 MHz, i.e., integer multiples of 20 MHz.</w:t>
      </w:r>
    </w:p>
    <w:p w14:paraId="31369EC2"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whether or not the following techniques enhance performance beyond the baseline LBT mechanisms</w:t>
      </w:r>
    </w:p>
    <w:p w14:paraId="1775353F"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Receiver assisted LBT : RTS/CTS type mechanism</w:t>
      </w:r>
    </w:p>
    <w:p w14:paraId="3B6E7DE5" w14:textId="77777777" w:rsidR="00E765C3" w:rsidRPr="00857984" w:rsidRDefault="00E765C3" w:rsidP="00D7163D">
      <w:pPr>
        <w:widowControl w:val="0"/>
        <w:numPr>
          <w:ilvl w:val="2"/>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example receiver assisted LBT enabled only when needed </w:t>
      </w:r>
    </w:p>
    <w:p w14:paraId="18E09083"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NR-U should support that a serving cell can be configured with bandwidth larger than 20 MHz.</w:t>
      </w:r>
    </w:p>
    <w:p w14:paraId="7E6AFE56"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2: Multiple BWPs can be configured, single BWP activated, gNB transmits PDSCH on a single BWP if CCA is successful at gNB for the whole BWP</w:t>
      </w:r>
    </w:p>
    <w:p w14:paraId="4E79AD2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3: Multiple BWPs can be configured, single BWP activated, gNB transmits PDSCH on parts or whole of single BWP where CCA is successful at gNB</w:t>
      </w:r>
    </w:p>
    <w:p w14:paraId="2CF4CFDE"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Note: CCA is declared to be successful or not in multiples of 20 MHz.</w:t>
      </w:r>
    </w:p>
    <w:p w14:paraId="46D7468C"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FFS for UL operation including some or all of above options can be applied</w:t>
      </w:r>
    </w:p>
    <w:p w14:paraId="4BBA4CF7"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77777777" w:rsidR="00C7260E" w:rsidRDefault="00C7260E" w:rsidP="00C7260E">
      <w:pPr>
        <w:spacing w:after="0"/>
        <w:rPr>
          <w:highlight w:val="green"/>
          <w:lang w:eastAsia="x-none"/>
        </w:rPr>
      </w:pPr>
    </w:p>
    <w:p w14:paraId="30687B2A" w14:textId="77777777" w:rsidR="00C7260E" w:rsidRDefault="00C7260E" w:rsidP="00C7260E">
      <w:pPr>
        <w:rPr>
          <w:lang w:eastAsia="x-none"/>
        </w:rPr>
      </w:pPr>
    </w:p>
    <w:p w14:paraId="70D8019B" w14:textId="77777777" w:rsidR="00C7260E" w:rsidRPr="00C7260E" w:rsidRDefault="00C7260E" w:rsidP="00ED270C">
      <w:pPr>
        <w:ind w:left="357"/>
        <w:rPr>
          <w:sz w:val="18"/>
          <w:szCs w:val="18"/>
        </w:rPr>
      </w:pP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F2A52" w14:textId="77777777" w:rsidR="007D00F0" w:rsidRDefault="007D00F0">
      <w:r>
        <w:separator/>
      </w:r>
    </w:p>
  </w:endnote>
  <w:endnote w:type="continuationSeparator" w:id="0">
    <w:p w14:paraId="3D5B2391" w14:textId="77777777" w:rsidR="007D00F0" w:rsidRDefault="007D00F0">
      <w:r>
        <w:continuationSeparator/>
      </w:r>
    </w:p>
  </w:endnote>
  <w:endnote w:type="continuationNotice" w:id="1">
    <w:p w14:paraId="2816FAC5" w14:textId="77777777" w:rsidR="007D00F0" w:rsidRDefault="007D0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SimSun">
    <w:altName w:val="Arial"/>
    <w:panose1 w:val="00000000000000000000"/>
    <w:charset w:val="00"/>
    <w:family w:val="roman"/>
    <w:notTrueType/>
    <w:pitch w:val="default"/>
  </w:font>
  <w:font w:name="ヒラギノ角ゴ Pro W3">
    <w:altName w:val="MS Mincho"/>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7AD5" w14:textId="77777777" w:rsidR="007D00F0" w:rsidRDefault="007D00F0">
      <w:r>
        <w:separator/>
      </w:r>
    </w:p>
  </w:footnote>
  <w:footnote w:type="continuationSeparator" w:id="0">
    <w:p w14:paraId="2148B660" w14:textId="77777777" w:rsidR="007D00F0" w:rsidRDefault="007D00F0">
      <w:r>
        <w:continuationSeparator/>
      </w:r>
    </w:p>
  </w:footnote>
  <w:footnote w:type="continuationNotice" w:id="1">
    <w:p w14:paraId="189AF977" w14:textId="77777777" w:rsidR="007D00F0" w:rsidRDefault="007D00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07AE"/>
    <w:multiLevelType w:val="hybridMultilevel"/>
    <w:tmpl w:val="79B0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14EE33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86E3D"/>
    <w:multiLevelType w:val="hybridMultilevel"/>
    <w:tmpl w:val="B3320D0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0E673B"/>
    <w:multiLevelType w:val="hybridMultilevel"/>
    <w:tmpl w:val="256626BA"/>
    <w:lvl w:ilvl="0" w:tplc="040B0001">
      <w:start w:val="1"/>
      <w:numFmt w:val="bullet"/>
      <w:lvlText w:val=""/>
      <w:lvlJc w:val="left"/>
      <w:pPr>
        <w:ind w:left="1020" w:hanging="360"/>
      </w:pPr>
      <w:rPr>
        <w:rFonts w:ascii="Symbol" w:hAnsi="Symbol" w:hint="default"/>
      </w:rPr>
    </w:lvl>
    <w:lvl w:ilvl="1" w:tplc="040B0003">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1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1C1CD9"/>
    <w:multiLevelType w:val="hybridMultilevel"/>
    <w:tmpl w:val="CBDC5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466FF6"/>
    <w:multiLevelType w:val="hybridMultilevel"/>
    <w:tmpl w:val="1A082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FA245A3"/>
    <w:multiLevelType w:val="hybridMultilevel"/>
    <w:tmpl w:val="899A58BE"/>
    <w:lvl w:ilvl="0" w:tplc="040B0001">
      <w:start w:val="1"/>
      <w:numFmt w:val="bullet"/>
      <w:lvlText w:val=""/>
      <w:lvlJc w:val="left"/>
      <w:pPr>
        <w:ind w:left="644" w:hanging="360"/>
      </w:pPr>
      <w:rPr>
        <w:rFonts w:ascii="Symbol" w:hAnsi="Symbol" w:hint="default"/>
      </w:rPr>
    </w:lvl>
    <w:lvl w:ilvl="1" w:tplc="0DF23B88">
      <w:numFmt w:val="bullet"/>
      <w:lvlText w:val="•"/>
      <w:lvlJc w:val="left"/>
      <w:pPr>
        <w:ind w:left="1364" w:hanging="360"/>
      </w:pPr>
      <w:rPr>
        <w:rFonts w:ascii="Times New Roman" w:eastAsia="SimSun" w:hAnsi="Times New Roman" w:cs="Times New Roman"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7"/>
  </w:num>
  <w:num w:numId="4">
    <w:abstractNumId w:val="15"/>
  </w:num>
  <w:num w:numId="5">
    <w:abstractNumId w:val="4"/>
  </w:num>
  <w:num w:numId="6">
    <w:abstractNumId w:val="14"/>
  </w:num>
  <w:num w:numId="7">
    <w:abstractNumId w:val="0"/>
  </w:num>
  <w:num w:numId="8">
    <w:abstractNumId w:val="2"/>
  </w:num>
  <w:num w:numId="9">
    <w:abstractNumId w:val="13"/>
  </w:num>
  <w:num w:numId="10">
    <w:abstractNumId w:val="5"/>
  </w:num>
  <w:num w:numId="11">
    <w:abstractNumId w:val="6"/>
  </w:num>
  <w:num w:numId="12">
    <w:abstractNumId w:val="3"/>
  </w:num>
  <w:num w:numId="13">
    <w:abstractNumId w:val="12"/>
  </w:num>
  <w:num w:numId="14">
    <w:abstractNumId w:val="10"/>
  </w:num>
  <w:num w:numId="15">
    <w:abstractNumId w:val="1"/>
  </w:num>
  <w:num w:numId="16">
    <w:abstractNumId w:val="11"/>
  </w:num>
  <w:num w:numId="17">
    <w:abstractNumId w:val="9"/>
  </w:num>
  <w:num w:numId="1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9AF"/>
    <w:rsid w:val="00062ABB"/>
    <w:rsid w:val="000631B7"/>
    <w:rsid w:val="00063D9E"/>
    <w:rsid w:val="0006459B"/>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EC2"/>
    <w:rsid w:val="000823F3"/>
    <w:rsid w:val="000823FE"/>
    <w:rsid w:val="00083800"/>
    <w:rsid w:val="00083C3D"/>
    <w:rsid w:val="00084A65"/>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2EEA"/>
    <w:rsid w:val="000A38C0"/>
    <w:rsid w:val="000A3C8D"/>
    <w:rsid w:val="000A40EC"/>
    <w:rsid w:val="000A44DE"/>
    <w:rsid w:val="000A4BB2"/>
    <w:rsid w:val="000A54EE"/>
    <w:rsid w:val="000A57F0"/>
    <w:rsid w:val="000A6A23"/>
    <w:rsid w:val="000A7BC5"/>
    <w:rsid w:val="000A7F64"/>
    <w:rsid w:val="000B0C45"/>
    <w:rsid w:val="000B12B9"/>
    <w:rsid w:val="000B16DB"/>
    <w:rsid w:val="000B1C5E"/>
    <w:rsid w:val="000B1D13"/>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E1F"/>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A24"/>
    <w:rsid w:val="0016316A"/>
    <w:rsid w:val="00163E1B"/>
    <w:rsid w:val="00164171"/>
    <w:rsid w:val="001647CD"/>
    <w:rsid w:val="00164E58"/>
    <w:rsid w:val="00165033"/>
    <w:rsid w:val="00165B18"/>
    <w:rsid w:val="00166205"/>
    <w:rsid w:val="001670EA"/>
    <w:rsid w:val="001674A0"/>
    <w:rsid w:val="00167C41"/>
    <w:rsid w:val="00170A50"/>
    <w:rsid w:val="00171F0C"/>
    <w:rsid w:val="00173729"/>
    <w:rsid w:val="00174FFD"/>
    <w:rsid w:val="001759CA"/>
    <w:rsid w:val="00176F1E"/>
    <w:rsid w:val="0017726A"/>
    <w:rsid w:val="00177D03"/>
    <w:rsid w:val="00177DD3"/>
    <w:rsid w:val="00180278"/>
    <w:rsid w:val="00181296"/>
    <w:rsid w:val="00181756"/>
    <w:rsid w:val="001818A7"/>
    <w:rsid w:val="00181E86"/>
    <w:rsid w:val="00182725"/>
    <w:rsid w:val="001829C8"/>
    <w:rsid w:val="00182CA0"/>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1F5"/>
    <w:rsid w:val="001B2762"/>
    <w:rsid w:val="001B3270"/>
    <w:rsid w:val="001B36FC"/>
    <w:rsid w:val="001B41ED"/>
    <w:rsid w:val="001B4607"/>
    <w:rsid w:val="001B480A"/>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EF5"/>
    <w:rsid w:val="001D3B67"/>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2FD7"/>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0793E"/>
    <w:rsid w:val="00210309"/>
    <w:rsid w:val="00211030"/>
    <w:rsid w:val="00212694"/>
    <w:rsid w:val="00212FB8"/>
    <w:rsid w:val="00213104"/>
    <w:rsid w:val="00213709"/>
    <w:rsid w:val="00214400"/>
    <w:rsid w:val="002149AF"/>
    <w:rsid w:val="00214A86"/>
    <w:rsid w:val="00215AAA"/>
    <w:rsid w:val="0021683C"/>
    <w:rsid w:val="00216856"/>
    <w:rsid w:val="002201EA"/>
    <w:rsid w:val="00221985"/>
    <w:rsid w:val="00221B3C"/>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390D"/>
    <w:rsid w:val="00244018"/>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1BF"/>
    <w:rsid w:val="00255F73"/>
    <w:rsid w:val="002568D0"/>
    <w:rsid w:val="00256B73"/>
    <w:rsid w:val="00262661"/>
    <w:rsid w:val="0026299C"/>
    <w:rsid w:val="002632DF"/>
    <w:rsid w:val="0026400A"/>
    <w:rsid w:val="002640BA"/>
    <w:rsid w:val="00264BAA"/>
    <w:rsid w:val="00264CF2"/>
    <w:rsid w:val="0026570B"/>
    <w:rsid w:val="00266462"/>
    <w:rsid w:val="00267587"/>
    <w:rsid w:val="00270822"/>
    <w:rsid w:val="00271222"/>
    <w:rsid w:val="00271589"/>
    <w:rsid w:val="00271CF1"/>
    <w:rsid w:val="00273177"/>
    <w:rsid w:val="00275074"/>
    <w:rsid w:val="002758A4"/>
    <w:rsid w:val="00275FFD"/>
    <w:rsid w:val="002763E9"/>
    <w:rsid w:val="00276736"/>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5FCD"/>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28CE"/>
    <w:rsid w:val="002C47AD"/>
    <w:rsid w:val="002C6034"/>
    <w:rsid w:val="002C613E"/>
    <w:rsid w:val="002C635B"/>
    <w:rsid w:val="002C6B2A"/>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3C3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25E"/>
    <w:rsid w:val="00352D21"/>
    <w:rsid w:val="0035371F"/>
    <w:rsid w:val="0035443D"/>
    <w:rsid w:val="00354FEE"/>
    <w:rsid w:val="003554FB"/>
    <w:rsid w:val="00356275"/>
    <w:rsid w:val="003569B7"/>
    <w:rsid w:val="00356B54"/>
    <w:rsid w:val="00356C0B"/>
    <w:rsid w:val="00356D31"/>
    <w:rsid w:val="00357B9C"/>
    <w:rsid w:val="00357D7E"/>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1DF"/>
    <w:rsid w:val="003F4488"/>
    <w:rsid w:val="003F5547"/>
    <w:rsid w:val="003F5C40"/>
    <w:rsid w:val="003F5C78"/>
    <w:rsid w:val="003F6700"/>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1E5A"/>
    <w:rsid w:val="00442607"/>
    <w:rsid w:val="00442943"/>
    <w:rsid w:val="00444190"/>
    <w:rsid w:val="0044474B"/>
    <w:rsid w:val="00445801"/>
    <w:rsid w:val="00445F09"/>
    <w:rsid w:val="00445FF7"/>
    <w:rsid w:val="0044633D"/>
    <w:rsid w:val="00450575"/>
    <w:rsid w:val="00453341"/>
    <w:rsid w:val="00453EF8"/>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6066F"/>
    <w:rsid w:val="00461210"/>
    <w:rsid w:val="00462490"/>
    <w:rsid w:val="00462A0A"/>
    <w:rsid w:val="00463823"/>
    <w:rsid w:val="00464EE8"/>
    <w:rsid w:val="00465299"/>
    <w:rsid w:val="00465C91"/>
    <w:rsid w:val="00466223"/>
    <w:rsid w:val="004663BB"/>
    <w:rsid w:val="004669D0"/>
    <w:rsid w:val="00466A0F"/>
    <w:rsid w:val="00467520"/>
    <w:rsid w:val="0046795B"/>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7DD"/>
    <w:rsid w:val="00481C24"/>
    <w:rsid w:val="00481D90"/>
    <w:rsid w:val="00482CD4"/>
    <w:rsid w:val="00483261"/>
    <w:rsid w:val="00484021"/>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117"/>
    <w:rsid w:val="004F1EBC"/>
    <w:rsid w:val="004F20E8"/>
    <w:rsid w:val="004F2DDD"/>
    <w:rsid w:val="004F3076"/>
    <w:rsid w:val="004F3B71"/>
    <w:rsid w:val="004F4B2F"/>
    <w:rsid w:val="004F5154"/>
    <w:rsid w:val="004F5835"/>
    <w:rsid w:val="004F661C"/>
    <w:rsid w:val="004F6A05"/>
    <w:rsid w:val="004F6D99"/>
    <w:rsid w:val="004F7070"/>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4A38"/>
    <w:rsid w:val="005256F3"/>
    <w:rsid w:val="00525B2D"/>
    <w:rsid w:val="00525F32"/>
    <w:rsid w:val="005265A3"/>
    <w:rsid w:val="00526783"/>
    <w:rsid w:val="0052721C"/>
    <w:rsid w:val="0052785B"/>
    <w:rsid w:val="00527C99"/>
    <w:rsid w:val="00527FB1"/>
    <w:rsid w:val="005303D3"/>
    <w:rsid w:val="005314C5"/>
    <w:rsid w:val="0053162F"/>
    <w:rsid w:val="00531777"/>
    <w:rsid w:val="0053281C"/>
    <w:rsid w:val="00532877"/>
    <w:rsid w:val="005333FE"/>
    <w:rsid w:val="005340C9"/>
    <w:rsid w:val="0053449F"/>
    <w:rsid w:val="00535AF7"/>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F4F"/>
    <w:rsid w:val="00576402"/>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D0079"/>
    <w:rsid w:val="005D059A"/>
    <w:rsid w:val="005D07C5"/>
    <w:rsid w:val="005D1FF8"/>
    <w:rsid w:val="005D3AB9"/>
    <w:rsid w:val="005D4302"/>
    <w:rsid w:val="005D430F"/>
    <w:rsid w:val="005D4590"/>
    <w:rsid w:val="005D5A20"/>
    <w:rsid w:val="005D786C"/>
    <w:rsid w:val="005E009A"/>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7A6"/>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0720"/>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84FD7"/>
    <w:rsid w:val="006868C1"/>
    <w:rsid w:val="0069011A"/>
    <w:rsid w:val="00690E2E"/>
    <w:rsid w:val="006915D7"/>
    <w:rsid w:val="006923D4"/>
    <w:rsid w:val="006927AC"/>
    <w:rsid w:val="00692814"/>
    <w:rsid w:val="006932DF"/>
    <w:rsid w:val="006932E7"/>
    <w:rsid w:val="00693347"/>
    <w:rsid w:val="0069334C"/>
    <w:rsid w:val="006955E9"/>
    <w:rsid w:val="006960DC"/>
    <w:rsid w:val="00696D63"/>
    <w:rsid w:val="006A032F"/>
    <w:rsid w:val="006A04A0"/>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024"/>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2579"/>
    <w:rsid w:val="007027E0"/>
    <w:rsid w:val="00702D5A"/>
    <w:rsid w:val="00702EF7"/>
    <w:rsid w:val="00702FA5"/>
    <w:rsid w:val="00703989"/>
    <w:rsid w:val="007042E9"/>
    <w:rsid w:val="007044E2"/>
    <w:rsid w:val="007045DA"/>
    <w:rsid w:val="0071118B"/>
    <w:rsid w:val="007115D2"/>
    <w:rsid w:val="00711E13"/>
    <w:rsid w:val="00712564"/>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91B"/>
    <w:rsid w:val="00727C98"/>
    <w:rsid w:val="00730D02"/>
    <w:rsid w:val="0073124A"/>
    <w:rsid w:val="007317FF"/>
    <w:rsid w:val="00731B79"/>
    <w:rsid w:val="00733893"/>
    <w:rsid w:val="00733BA5"/>
    <w:rsid w:val="00734A05"/>
    <w:rsid w:val="00735C6F"/>
    <w:rsid w:val="00735EF5"/>
    <w:rsid w:val="00735F4F"/>
    <w:rsid w:val="007366CF"/>
    <w:rsid w:val="007375DE"/>
    <w:rsid w:val="007408D5"/>
    <w:rsid w:val="00741C59"/>
    <w:rsid w:val="00742422"/>
    <w:rsid w:val="00742B44"/>
    <w:rsid w:val="00742FA7"/>
    <w:rsid w:val="007435FA"/>
    <w:rsid w:val="00745540"/>
    <w:rsid w:val="0074655A"/>
    <w:rsid w:val="007469B7"/>
    <w:rsid w:val="00747640"/>
    <w:rsid w:val="007476A2"/>
    <w:rsid w:val="00751B3B"/>
    <w:rsid w:val="00753287"/>
    <w:rsid w:val="00753BB5"/>
    <w:rsid w:val="007547B2"/>
    <w:rsid w:val="0075660B"/>
    <w:rsid w:val="00756832"/>
    <w:rsid w:val="0075741E"/>
    <w:rsid w:val="0076266E"/>
    <w:rsid w:val="007626D0"/>
    <w:rsid w:val="007648A5"/>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1897"/>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EFD"/>
    <w:rsid w:val="007A36A9"/>
    <w:rsid w:val="007A39DF"/>
    <w:rsid w:val="007A43ED"/>
    <w:rsid w:val="007A4997"/>
    <w:rsid w:val="007A4BDD"/>
    <w:rsid w:val="007A4C98"/>
    <w:rsid w:val="007A544A"/>
    <w:rsid w:val="007A5A21"/>
    <w:rsid w:val="007A72EE"/>
    <w:rsid w:val="007A7E9E"/>
    <w:rsid w:val="007B0352"/>
    <w:rsid w:val="007B0397"/>
    <w:rsid w:val="007B056C"/>
    <w:rsid w:val="007B3502"/>
    <w:rsid w:val="007B44ED"/>
    <w:rsid w:val="007B4730"/>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676"/>
    <w:rsid w:val="007C5830"/>
    <w:rsid w:val="007C5DB8"/>
    <w:rsid w:val="007C6737"/>
    <w:rsid w:val="007C6CA2"/>
    <w:rsid w:val="007C6F91"/>
    <w:rsid w:val="007D00F0"/>
    <w:rsid w:val="007D05B2"/>
    <w:rsid w:val="007D0C44"/>
    <w:rsid w:val="007D1972"/>
    <w:rsid w:val="007D1F33"/>
    <w:rsid w:val="007D2146"/>
    <w:rsid w:val="007D24BF"/>
    <w:rsid w:val="007D2A0E"/>
    <w:rsid w:val="007D3307"/>
    <w:rsid w:val="007D33DA"/>
    <w:rsid w:val="007D432A"/>
    <w:rsid w:val="007D5E27"/>
    <w:rsid w:val="007D6F64"/>
    <w:rsid w:val="007D737E"/>
    <w:rsid w:val="007D7D9D"/>
    <w:rsid w:val="007E1286"/>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08"/>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6D5"/>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6C8"/>
    <w:rsid w:val="008C57D6"/>
    <w:rsid w:val="008C603A"/>
    <w:rsid w:val="008C654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7924"/>
    <w:rsid w:val="009213BD"/>
    <w:rsid w:val="00924627"/>
    <w:rsid w:val="009249EB"/>
    <w:rsid w:val="009250A8"/>
    <w:rsid w:val="009251C8"/>
    <w:rsid w:val="00925BE6"/>
    <w:rsid w:val="00926F61"/>
    <w:rsid w:val="009277A2"/>
    <w:rsid w:val="00930879"/>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097"/>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18D"/>
    <w:rsid w:val="0096726D"/>
    <w:rsid w:val="00967354"/>
    <w:rsid w:val="00971592"/>
    <w:rsid w:val="00971DDF"/>
    <w:rsid w:val="009731D6"/>
    <w:rsid w:val="00974746"/>
    <w:rsid w:val="00974A98"/>
    <w:rsid w:val="00974C40"/>
    <w:rsid w:val="00975119"/>
    <w:rsid w:val="009766A5"/>
    <w:rsid w:val="00976F04"/>
    <w:rsid w:val="009775E9"/>
    <w:rsid w:val="009777F4"/>
    <w:rsid w:val="00977AD8"/>
    <w:rsid w:val="00980A10"/>
    <w:rsid w:val="00981130"/>
    <w:rsid w:val="00982BAF"/>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31A3"/>
    <w:rsid w:val="009E3CD1"/>
    <w:rsid w:val="009E5988"/>
    <w:rsid w:val="009E5AF5"/>
    <w:rsid w:val="009E5EB5"/>
    <w:rsid w:val="009E623F"/>
    <w:rsid w:val="009E74F0"/>
    <w:rsid w:val="009F0768"/>
    <w:rsid w:val="009F12F3"/>
    <w:rsid w:val="009F2A71"/>
    <w:rsid w:val="009F4CC2"/>
    <w:rsid w:val="009F7867"/>
    <w:rsid w:val="009F7D66"/>
    <w:rsid w:val="00A00BD2"/>
    <w:rsid w:val="00A00CA5"/>
    <w:rsid w:val="00A00E56"/>
    <w:rsid w:val="00A027F3"/>
    <w:rsid w:val="00A02E6D"/>
    <w:rsid w:val="00A02FAD"/>
    <w:rsid w:val="00A032A2"/>
    <w:rsid w:val="00A03978"/>
    <w:rsid w:val="00A04782"/>
    <w:rsid w:val="00A0479E"/>
    <w:rsid w:val="00A05DF3"/>
    <w:rsid w:val="00A05EBB"/>
    <w:rsid w:val="00A0670C"/>
    <w:rsid w:val="00A06C09"/>
    <w:rsid w:val="00A07E08"/>
    <w:rsid w:val="00A108F6"/>
    <w:rsid w:val="00A12798"/>
    <w:rsid w:val="00A150AB"/>
    <w:rsid w:val="00A153BE"/>
    <w:rsid w:val="00A153C1"/>
    <w:rsid w:val="00A15C2E"/>
    <w:rsid w:val="00A15DEE"/>
    <w:rsid w:val="00A167B5"/>
    <w:rsid w:val="00A168A6"/>
    <w:rsid w:val="00A16DBE"/>
    <w:rsid w:val="00A17C4F"/>
    <w:rsid w:val="00A20653"/>
    <w:rsid w:val="00A20A39"/>
    <w:rsid w:val="00A220A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419"/>
    <w:rsid w:val="00A53A0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18A0"/>
    <w:rsid w:val="00A72B7B"/>
    <w:rsid w:val="00A73D75"/>
    <w:rsid w:val="00A740E3"/>
    <w:rsid w:val="00A74692"/>
    <w:rsid w:val="00A7618B"/>
    <w:rsid w:val="00A7625F"/>
    <w:rsid w:val="00A7640B"/>
    <w:rsid w:val="00A77398"/>
    <w:rsid w:val="00A7778B"/>
    <w:rsid w:val="00A803BC"/>
    <w:rsid w:val="00A80969"/>
    <w:rsid w:val="00A80C68"/>
    <w:rsid w:val="00A84805"/>
    <w:rsid w:val="00A858C5"/>
    <w:rsid w:val="00A86EA7"/>
    <w:rsid w:val="00A90A2D"/>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6601"/>
    <w:rsid w:val="00AB674E"/>
    <w:rsid w:val="00AB6D63"/>
    <w:rsid w:val="00AB6D79"/>
    <w:rsid w:val="00AB6F48"/>
    <w:rsid w:val="00AB7806"/>
    <w:rsid w:val="00AC02C1"/>
    <w:rsid w:val="00AC0AB6"/>
    <w:rsid w:val="00AC0C71"/>
    <w:rsid w:val="00AC10AD"/>
    <w:rsid w:val="00AC117A"/>
    <w:rsid w:val="00AC14F1"/>
    <w:rsid w:val="00AC1E55"/>
    <w:rsid w:val="00AC429F"/>
    <w:rsid w:val="00AC5F27"/>
    <w:rsid w:val="00AC60B4"/>
    <w:rsid w:val="00AD00C5"/>
    <w:rsid w:val="00AD085F"/>
    <w:rsid w:val="00AD165F"/>
    <w:rsid w:val="00AD2794"/>
    <w:rsid w:val="00AD2DC5"/>
    <w:rsid w:val="00AD3455"/>
    <w:rsid w:val="00AD3CAD"/>
    <w:rsid w:val="00AD61F5"/>
    <w:rsid w:val="00AD69EF"/>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66B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FA6"/>
    <w:rsid w:val="00B0606F"/>
    <w:rsid w:val="00B06835"/>
    <w:rsid w:val="00B06DD9"/>
    <w:rsid w:val="00B07904"/>
    <w:rsid w:val="00B07B98"/>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A32"/>
    <w:rsid w:val="00B42FA6"/>
    <w:rsid w:val="00B43997"/>
    <w:rsid w:val="00B4399E"/>
    <w:rsid w:val="00B43A16"/>
    <w:rsid w:val="00B43DF8"/>
    <w:rsid w:val="00B452BB"/>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1E32"/>
    <w:rsid w:val="00B721CD"/>
    <w:rsid w:val="00B7267A"/>
    <w:rsid w:val="00B726FF"/>
    <w:rsid w:val="00B7291A"/>
    <w:rsid w:val="00B72AA4"/>
    <w:rsid w:val="00B75454"/>
    <w:rsid w:val="00B76BCD"/>
    <w:rsid w:val="00B76EE9"/>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98D"/>
    <w:rsid w:val="00B93008"/>
    <w:rsid w:val="00B9406D"/>
    <w:rsid w:val="00B944C0"/>
    <w:rsid w:val="00B94BA7"/>
    <w:rsid w:val="00B94BE9"/>
    <w:rsid w:val="00B94C49"/>
    <w:rsid w:val="00B94E0E"/>
    <w:rsid w:val="00B958AF"/>
    <w:rsid w:val="00B96201"/>
    <w:rsid w:val="00B97430"/>
    <w:rsid w:val="00B976AD"/>
    <w:rsid w:val="00B97CA3"/>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958"/>
    <w:rsid w:val="00BC58B9"/>
    <w:rsid w:val="00BC5CCB"/>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5A6A"/>
    <w:rsid w:val="00BE631E"/>
    <w:rsid w:val="00BE7D8B"/>
    <w:rsid w:val="00BF0BD4"/>
    <w:rsid w:val="00BF0CCF"/>
    <w:rsid w:val="00BF0F3A"/>
    <w:rsid w:val="00BF0FC5"/>
    <w:rsid w:val="00BF10BC"/>
    <w:rsid w:val="00BF21AC"/>
    <w:rsid w:val="00BF2E53"/>
    <w:rsid w:val="00BF3133"/>
    <w:rsid w:val="00BF3669"/>
    <w:rsid w:val="00BF3C0D"/>
    <w:rsid w:val="00BF711C"/>
    <w:rsid w:val="00BF74BE"/>
    <w:rsid w:val="00BF7C74"/>
    <w:rsid w:val="00C0099E"/>
    <w:rsid w:val="00C00ED8"/>
    <w:rsid w:val="00C0208F"/>
    <w:rsid w:val="00C02367"/>
    <w:rsid w:val="00C02AE2"/>
    <w:rsid w:val="00C02E65"/>
    <w:rsid w:val="00C03309"/>
    <w:rsid w:val="00C03EBF"/>
    <w:rsid w:val="00C067D5"/>
    <w:rsid w:val="00C072FE"/>
    <w:rsid w:val="00C1091D"/>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29FF"/>
    <w:rsid w:val="00C33359"/>
    <w:rsid w:val="00C3368E"/>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50A4E"/>
    <w:rsid w:val="00C50CE4"/>
    <w:rsid w:val="00C51A73"/>
    <w:rsid w:val="00C520B1"/>
    <w:rsid w:val="00C522D6"/>
    <w:rsid w:val="00C53A37"/>
    <w:rsid w:val="00C53BBB"/>
    <w:rsid w:val="00C54020"/>
    <w:rsid w:val="00C5406F"/>
    <w:rsid w:val="00C545C5"/>
    <w:rsid w:val="00C55566"/>
    <w:rsid w:val="00C5744D"/>
    <w:rsid w:val="00C576A1"/>
    <w:rsid w:val="00C60237"/>
    <w:rsid w:val="00C6038F"/>
    <w:rsid w:val="00C61D4B"/>
    <w:rsid w:val="00C62B0A"/>
    <w:rsid w:val="00C63F08"/>
    <w:rsid w:val="00C640FE"/>
    <w:rsid w:val="00C6528C"/>
    <w:rsid w:val="00C655E5"/>
    <w:rsid w:val="00C661E8"/>
    <w:rsid w:val="00C6648F"/>
    <w:rsid w:val="00C70084"/>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BDF"/>
    <w:rsid w:val="00C82DA3"/>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D078F"/>
    <w:rsid w:val="00CD121E"/>
    <w:rsid w:val="00CD1922"/>
    <w:rsid w:val="00CD28F0"/>
    <w:rsid w:val="00CD3ED8"/>
    <w:rsid w:val="00CD4DA3"/>
    <w:rsid w:val="00CD736C"/>
    <w:rsid w:val="00CD761D"/>
    <w:rsid w:val="00CD76B5"/>
    <w:rsid w:val="00CE09B1"/>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680"/>
    <w:rsid w:val="00D01EAD"/>
    <w:rsid w:val="00D035B9"/>
    <w:rsid w:val="00D0365C"/>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709"/>
    <w:rsid w:val="00D50764"/>
    <w:rsid w:val="00D50C12"/>
    <w:rsid w:val="00D518AB"/>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63D"/>
    <w:rsid w:val="00D71749"/>
    <w:rsid w:val="00D717C2"/>
    <w:rsid w:val="00D720EE"/>
    <w:rsid w:val="00D73077"/>
    <w:rsid w:val="00D736A2"/>
    <w:rsid w:val="00D73C57"/>
    <w:rsid w:val="00D742FF"/>
    <w:rsid w:val="00D754C4"/>
    <w:rsid w:val="00D75759"/>
    <w:rsid w:val="00D758B3"/>
    <w:rsid w:val="00D76ADC"/>
    <w:rsid w:val="00D77413"/>
    <w:rsid w:val="00D80831"/>
    <w:rsid w:val="00D80F4C"/>
    <w:rsid w:val="00D81F10"/>
    <w:rsid w:val="00D8201E"/>
    <w:rsid w:val="00D82E0A"/>
    <w:rsid w:val="00D83AFD"/>
    <w:rsid w:val="00D84A57"/>
    <w:rsid w:val="00D84C3B"/>
    <w:rsid w:val="00D854AC"/>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180C"/>
    <w:rsid w:val="00DA1DDF"/>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230E"/>
    <w:rsid w:val="00DD3029"/>
    <w:rsid w:val="00DD44C7"/>
    <w:rsid w:val="00DD55E0"/>
    <w:rsid w:val="00DD5B95"/>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6463"/>
    <w:rsid w:val="00E20921"/>
    <w:rsid w:val="00E20AD3"/>
    <w:rsid w:val="00E20CCC"/>
    <w:rsid w:val="00E20D46"/>
    <w:rsid w:val="00E22DD9"/>
    <w:rsid w:val="00E239D1"/>
    <w:rsid w:val="00E2428C"/>
    <w:rsid w:val="00E26727"/>
    <w:rsid w:val="00E26970"/>
    <w:rsid w:val="00E27791"/>
    <w:rsid w:val="00E30F2D"/>
    <w:rsid w:val="00E3120D"/>
    <w:rsid w:val="00E313D4"/>
    <w:rsid w:val="00E3197F"/>
    <w:rsid w:val="00E319DB"/>
    <w:rsid w:val="00E31AFC"/>
    <w:rsid w:val="00E33B0B"/>
    <w:rsid w:val="00E3409E"/>
    <w:rsid w:val="00E34E72"/>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57CE4"/>
    <w:rsid w:val="00E604C4"/>
    <w:rsid w:val="00E60809"/>
    <w:rsid w:val="00E60991"/>
    <w:rsid w:val="00E61300"/>
    <w:rsid w:val="00E614F2"/>
    <w:rsid w:val="00E635B9"/>
    <w:rsid w:val="00E641F4"/>
    <w:rsid w:val="00E65041"/>
    <w:rsid w:val="00E65D15"/>
    <w:rsid w:val="00E66C49"/>
    <w:rsid w:val="00E67EE5"/>
    <w:rsid w:val="00E7013A"/>
    <w:rsid w:val="00E70D40"/>
    <w:rsid w:val="00E74F5D"/>
    <w:rsid w:val="00E76034"/>
    <w:rsid w:val="00E765C3"/>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0EB3"/>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38C"/>
    <w:rsid w:val="00ED7918"/>
    <w:rsid w:val="00ED7FD3"/>
    <w:rsid w:val="00EE078B"/>
    <w:rsid w:val="00EE3663"/>
    <w:rsid w:val="00EE41C4"/>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57"/>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47FD1"/>
    <w:rsid w:val="00F506DF"/>
    <w:rsid w:val="00F51A53"/>
    <w:rsid w:val="00F51F04"/>
    <w:rsid w:val="00F52339"/>
    <w:rsid w:val="00F5277A"/>
    <w:rsid w:val="00F532E8"/>
    <w:rsid w:val="00F53469"/>
    <w:rsid w:val="00F537FF"/>
    <w:rsid w:val="00F54405"/>
    <w:rsid w:val="00F560FE"/>
    <w:rsid w:val="00F5669F"/>
    <w:rsid w:val="00F5681C"/>
    <w:rsid w:val="00F605B6"/>
    <w:rsid w:val="00F6111C"/>
    <w:rsid w:val="00F613EC"/>
    <w:rsid w:val="00F614C0"/>
    <w:rsid w:val="00F61647"/>
    <w:rsid w:val="00F61B4F"/>
    <w:rsid w:val="00F61F5F"/>
    <w:rsid w:val="00F64519"/>
    <w:rsid w:val="00F64D5B"/>
    <w:rsid w:val="00F657CF"/>
    <w:rsid w:val="00F664F7"/>
    <w:rsid w:val="00F66A00"/>
    <w:rsid w:val="00F713A3"/>
    <w:rsid w:val="00F719B0"/>
    <w:rsid w:val="00F71A8F"/>
    <w:rsid w:val="00F72EF8"/>
    <w:rsid w:val="00F73E5A"/>
    <w:rsid w:val="00F75330"/>
    <w:rsid w:val="00F75B55"/>
    <w:rsid w:val="00F75D1C"/>
    <w:rsid w:val="00F76410"/>
    <w:rsid w:val="00F76BD9"/>
    <w:rsid w:val="00F80318"/>
    <w:rsid w:val="00F80703"/>
    <w:rsid w:val="00F80948"/>
    <w:rsid w:val="00F80A7F"/>
    <w:rsid w:val="00F80F28"/>
    <w:rsid w:val="00F81387"/>
    <w:rsid w:val="00F81E3D"/>
    <w:rsid w:val="00F8214F"/>
    <w:rsid w:val="00F822E3"/>
    <w:rsid w:val="00F82866"/>
    <w:rsid w:val="00F8404A"/>
    <w:rsid w:val="00F84421"/>
    <w:rsid w:val="00F8449B"/>
    <w:rsid w:val="00F84D8D"/>
    <w:rsid w:val="00F8531A"/>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A7DAB"/>
    <w:rsid w:val="00FB04E1"/>
    <w:rsid w:val="00FB0553"/>
    <w:rsid w:val="00FB0826"/>
    <w:rsid w:val="00FB2379"/>
    <w:rsid w:val="00FB31C3"/>
    <w:rsid w:val="00FB391B"/>
    <w:rsid w:val="00FB4888"/>
    <w:rsid w:val="00FB4A7A"/>
    <w:rsid w:val="00FB4B8A"/>
    <w:rsid w:val="00FB5152"/>
    <w:rsid w:val="00FB59FD"/>
    <w:rsid w:val="00FB680E"/>
    <w:rsid w:val="00FC0065"/>
    <w:rsid w:val="00FC1A72"/>
    <w:rsid w:val="00FC3AEE"/>
    <w:rsid w:val="00FC4137"/>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5F6C"/>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F75D1C"/>
    <w:pPr>
      <w:widowControl w:val="0"/>
      <w:numPr>
        <w:numId w:val="3"/>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 w:id="845024116">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1897815834">
          <w:marLeft w:val="547"/>
          <w:marRight w:val="0"/>
          <w:marTop w:val="0"/>
          <w:marBottom w:val="0"/>
          <w:divBdr>
            <w:top w:val="none" w:sz="0" w:space="0" w:color="auto"/>
            <w:left w:val="none" w:sz="0" w:space="0" w:color="auto"/>
            <w:bottom w:val="none" w:sz="0" w:space="0" w:color="auto"/>
            <w:right w:val="none" w:sz="0" w:space="0" w:color="auto"/>
          </w:divBdr>
        </w:div>
        <w:div w:id="211230579">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5AIRPNAIUNRU-1830940522-4569</_dlc_DocId>
    <_dlc_DocIdUrl xmlns="71c5aaf6-e6ce-465b-b873-5148d2a4c105">
      <Url>https://nokia.sharepoint.com/sites/c5g/5gradio/_layouts/15/DocIdRedir.aspx?ID=5AIRPNAIUNRU-1830940522-4569</Url>
      <Description>5AIRPNAIUNRU-1830940522-4569</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http://www.w3.org/XML/1998/namespace"/>
    <ds:schemaRef ds:uri="http://schemas.microsoft.com/office/2006/documentManagement/types"/>
    <ds:schemaRef ds:uri="95d2e41d-1f11-4347-bb1c-11d6a32975dd"/>
    <ds:schemaRef ds:uri="http://purl.org/dc/elements/1.1/"/>
    <ds:schemaRef ds:uri="http://schemas.openxmlformats.org/package/2006/metadata/core-properties"/>
    <ds:schemaRef ds:uri="http://purl.org/dc/terms/"/>
    <ds:schemaRef ds:uri="ebabf6ce-2443-438c-9946-ecc878e7654a"/>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14C0158-470C-429C-9C72-0C570465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1070</TotalTime>
  <Pages>8</Pages>
  <Words>3753</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30</cp:revision>
  <cp:lastPrinted>2016-06-20T11:35:00Z</cp:lastPrinted>
  <dcterms:created xsi:type="dcterms:W3CDTF">2019-01-02T09:33:00Z</dcterms:created>
  <dcterms:modified xsi:type="dcterms:W3CDTF">2019-01-11T17:48:00Z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a5fb2742-e789-4ee4-ade4-1e3b9c7db6e6</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